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9B38" w14:textId="1F6B1733" w:rsidR="00F50969" w:rsidRPr="00EC5A03" w:rsidRDefault="00F50969" w:rsidP="00EC5A03">
      <w:pPr>
        <w:ind w:right="261"/>
        <w:jc w:val="center"/>
        <w:rPr>
          <w:rFonts w:ascii="Arial" w:hAnsi="Arial" w:cs="Arial"/>
          <w:sz w:val="21"/>
          <w:szCs w:val="21"/>
        </w:rPr>
      </w:pPr>
    </w:p>
    <w:p w14:paraId="766BEA93" w14:textId="77777777" w:rsidR="004862E8" w:rsidRPr="004862E8" w:rsidRDefault="004862E8" w:rsidP="004862E8">
      <w:pPr>
        <w:pStyle w:val="redtablehead"/>
        <w:jc w:val="left"/>
        <w:rPr>
          <w:color w:val="404040" w:themeColor="text1" w:themeTint="BF"/>
          <w:spacing w:val="28"/>
          <w:sz w:val="26"/>
          <w:szCs w:val="30"/>
        </w:rPr>
      </w:pPr>
    </w:p>
    <w:p w14:paraId="0FA33752" w14:textId="435BD84A" w:rsidR="002847C2" w:rsidRDefault="002847C2" w:rsidP="002847C2">
      <w:pPr>
        <w:pStyle w:val="redtablehead"/>
        <w:rPr>
          <w:rFonts w:asciiTheme="minorHAnsi" w:hAnsiTheme="minorHAnsi" w:cstheme="minorHAnsi"/>
          <w:color w:val="auto"/>
          <w:spacing w:val="28"/>
        </w:rPr>
      </w:pPr>
      <w:r w:rsidRPr="00976A03">
        <w:rPr>
          <w:rFonts w:asciiTheme="minorHAnsi" w:hAnsiTheme="minorHAnsi" w:cstheme="minorHAnsi"/>
          <w:color w:val="auto"/>
          <w:spacing w:val="28"/>
        </w:rPr>
        <w:t>pooled equipment policy</w:t>
      </w:r>
    </w:p>
    <w:p w14:paraId="4DA48351" w14:textId="53C35C7A" w:rsidR="002847C2" w:rsidRPr="00976A03" w:rsidRDefault="002847C2" w:rsidP="0080009D">
      <w:pPr>
        <w:ind w:left="-567" w:right="261"/>
        <w:jc w:val="both"/>
        <w:rPr>
          <w:rFonts w:cstheme="minorHAnsi"/>
          <w:sz w:val="21"/>
          <w:szCs w:val="21"/>
        </w:rPr>
      </w:pPr>
    </w:p>
    <w:p w14:paraId="11AE8796" w14:textId="217ABD88" w:rsidR="0080009D" w:rsidRPr="00976A03" w:rsidRDefault="00B72AF0" w:rsidP="0080009D">
      <w:pPr>
        <w:ind w:left="-567" w:right="261"/>
        <w:jc w:val="both"/>
        <w:rPr>
          <w:rFonts w:cstheme="minorHAnsi"/>
          <w:sz w:val="21"/>
          <w:szCs w:val="21"/>
        </w:rPr>
      </w:pPr>
      <w:r w:rsidRPr="00976A03">
        <w:rPr>
          <w:rFonts w:cstheme="minorHAnsi"/>
          <w:sz w:val="21"/>
          <w:szCs w:val="21"/>
        </w:rPr>
        <w:t xml:space="preserve">This policy applies to the </w:t>
      </w:r>
      <w:r w:rsidR="006B0870" w:rsidRPr="00976A03">
        <w:rPr>
          <w:rFonts w:cstheme="minorHAnsi"/>
          <w:sz w:val="21"/>
          <w:szCs w:val="21"/>
        </w:rPr>
        <w:t>receiv</w:t>
      </w:r>
      <w:r w:rsidR="002B234A" w:rsidRPr="00976A03">
        <w:rPr>
          <w:rFonts w:cstheme="minorHAnsi"/>
          <w:sz w:val="21"/>
          <w:szCs w:val="21"/>
        </w:rPr>
        <w:t>ing</w:t>
      </w:r>
      <w:r w:rsidRPr="00976A03">
        <w:rPr>
          <w:rFonts w:cstheme="minorHAnsi"/>
          <w:sz w:val="21"/>
          <w:szCs w:val="21"/>
        </w:rPr>
        <w:t xml:space="preserve"> </w:t>
      </w:r>
      <w:r w:rsidR="00164A18" w:rsidRPr="00976A03">
        <w:rPr>
          <w:rFonts w:cstheme="minorHAnsi"/>
          <w:sz w:val="21"/>
          <w:szCs w:val="21"/>
        </w:rPr>
        <w:t xml:space="preserve">and despatch </w:t>
      </w:r>
      <w:r w:rsidRPr="00976A03">
        <w:rPr>
          <w:rFonts w:cstheme="minorHAnsi"/>
          <w:sz w:val="21"/>
          <w:szCs w:val="21"/>
        </w:rPr>
        <w:t xml:space="preserve">of all </w:t>
      </w:r>
      <w:r w:rsidR="007E49B6" w:rsidRPr="00976A03">
        <w:rPr>
          <w:rFonts w:cstheme="minorHAnsi"/>
          <w:sz w:val="21"/>
          <w:szCs w:val="21"/>
        </w:rPr>
        <w:t>pooled equipment</w:t>
      </w:r>
      <w:r w:rsidR="00C459E3" w:rsidRPr="00976A03">
        <w:rPr>
          <w:rFonts w:cstheme="minorHAnsi"/>
          <w:sz w:val="21"/>
          <w:szCs w:val="21"/>
        </w:rPr>
        <w:t>.</w:t>
      </w:r>
    </w:p>
    <w:p w14:paraId="5249556B" w14:textId="77777777" w:rsidR="00CC543C" w:rsidRPr="00976A03" w:rsidRDefault="00B72AF0" w:rsidP="00CC543C">
      <w:pPr>
        <w:spacing w:after="200" w:line="240" w:lineRule="auto"/>
        <w:ind w:left="-567" w:right="686"/>
        <w:jc w:val="both"/>
        <w:rPr>
          <w:rFonts w:cstheme="minorHAnsi"/>
          <w:b/>
          <w:sz w:val="21"/>
          <w:szCs w:val="21"/>
        </w:rPr>
      </w:pPr>
      <w:r w:rsidRPr="00976A03">
        <w:rPr>
          <w:rFonts w:cstheme="minorHAnsi"/>
          <w:b/>
          <w:sz w:val="21"/>
          <w:szCs w:val="21"/>
        </w:rPr>
        <w:t>General</w:t>
      </w:r>
    </w:p>
    <w:p w14:paraId="0C533C64" w14:textId="6E836FA9" w:rsidR="00CC543C" w:rsidRPr="00976A03" w:rsidRDefault="00FD207C" w:rsidP="00CC543C">
      <w:pPr>
        <w:spacing w:after="200" w:line="240" w:lineRule="auto"/>
        <w:ind w:left="-567" w:right="686"/>
        <w:jc w:val="both"/>
        <w:rPr>
          <w:rFonts w:cstheme="minorHAnsi"/>
          <w:b/>
          <w:sz w:val="21"/>
          <w:szCs w:val="21"/>
        </w:rPr>
      </w:pPr>
      <w:r w:rsidRPr="00976A03">
        <w:rPr>
          <w:rFonts w:cstheme="minorHAnsi"/>
          <w:sz w:val="21"/>
          <w:szCs w:val="21"/>
        </w:rPr>
        <w:t>T</w:t>
      </w:r>
      <w:r w:rsidR="00B72AF0" w:rsidRPr="00976A03">
        <w:rPr>
          <w:rFonts w:cstheme="minorHAnsi"/>
          <w:sz w:val="21"/>
          <w:szCs w:val="21"/>
        </w:rPr>
        <w:t>ransfers t</w:t>
      </w:r>
      <w:r w:rsidR="00E44B89" w:rsidRPr="00976A03">
        <w:rPr>
          <w:rFonts w:cstheme="minorHAnsi"/>
          <w:sz w:val="21"/>
          <w:szCs w:val="21"/>
        </w:rPr>
        <w:t>o</w:t>
      </w:r>
      <w:r w:rsidR="00B72AF0" w:rsidRPr="00976A03">
        <w:rPr>
          <w:rFonts w:cstheme="minorHAnsi"/>
          <w:sz w:val="21"/>
          <w:szCs w:val="21"/>
        </w:rPr>
        <w:t xml:space="preserve"> </w:t>
      </w:r>
      <w:r w:rsidR="00483114" w:rsidRPr="00976A03">
        <w:rPr>
          <w:rFonts w:cstheme="minorHAnsi"/>
          <w:sz w:val="21"/>
          <w:szCs w:val="21"/>
        </w:rPr>
        <w:t>our</w:t>
      </w:r>
      <w:r w:rsidR="00C459E3" w:rsidRPr="00976A03">
        <w:rPr>
          <w:rFonts w:cstheme="minorHAnsi"/>
          <w:sz w:val="21"/>
          <w:szCs w:val="21"/>
        </w:rPr>
        <w:t xml:space="preserve"> </w:t>
      </w:r>
      <w:r w:rsidR="00B72AF0" w:rsidRPr="00976A03">
        <w:rPr>
          <w:rFonts w:cstheme="minorHAnsi"/>
          <w:sz w:val="21"/>
          <w:szCs w:val="21"/>
        </w:rPr>
        <w:t xml:space="preserve">account are </w:t>
      </w:r>
      <w:r w:rsidR="00056D93" w:rsidRPr="00976A03">
        <w:rPr>
          <w:rFonts w:cstheme="minorHAnsi"/>
          <w:sz w:val="21"/>
          <w:szCs w:val="21"/>
        </w:rPr>
        <w:t xml:space="preserve">allowed only after </w:t>
      </w:r>
      <w:r w:rsidR="00E44B89" w:rsidRPr="00976A03">
        <w:rPr>
          <w:rFonts w:cstheme="minorHAnsi"/>
          <w:sz w:val="21"/>
          <w:szCs w:val="21"/>
        </w:rPr>
        <w:t>authorisation</w:t>
      </w:r>
      <w:r w:rsidR="00056D93" w:rsidRPr="00976A03">
        <w:rPr>
          <w:rFonts w:cstheme="minorHAnsi"/>
          <w:sz w:val="21"/>
          <w:szCs w:val="21"/>
        </w:rPr>
        <w:t xml:space="preserve"> is given by Senior Management in writing and in accordance with this policy.</w:t>
      </w:r>
    </w:p>
    <w:p w14:paraId="36CF2996" w14:textId="77777777" w:rsidR="00CC543C" w:rsidRPr="00976A03" w:rsidRDefault="00483114" w:rsidP="00CC543C">
      <w:pPr>
        <w:spacing w:after="200" w:line="240" w:lineRule="auto"/>
        <w:ind w:left="-567" w:right="686"/>
        <w:jc w:val="both"/>
        <w:rPr>
          <w:rFonts w:cstheme="minorHAnsi"/>
          <w:b/>
          <w:sz w:val="21"/>
          <w:szCs w:val="21"/>
        </w:rPr>
      </w:pPr>
      <w:r w:rsidRPr="00976A03">
        <w:rPr>
          <w:rFonts w:cstheme="minorHAnsi"/>
          <w:sz w:val="21"/>
          <w:szCs w:val="21"/>
        </w:rPr>
        <w:t xml:space="preserve">We </w:t>
      </w:r>
      <w:r w:rsidR="00DF7D58" w:rsidRPr="00976A03">
        <w:rPr>
          <w:rFonts w:cstheme="minorHAnsi"/>
          <w:sz w:val="21"/>
          <w:szCs w:val="21"/>
        </w:rPr>
        <w:t>do not</w:t>
      </w:r>
      <w:r w:rsidR="00B72AF0" w:rsidRPr="00976A03">
        <w:rPr>
          <w:rFonts w:cstheme="minorHAnsi"/>
          <w:sz w:val="21"/>
          <w:szCs w:val="21"/>
        </w:rPr>
        <w:t xml:space="preserve"> exchange </w:t>
      </w:r>
      <w:r w:rsidR="00FE5D7C" w:rsidRPr="00976A03">
        <w:rPr>
          <w:rFonts w:cstheme="minorHAnsi"/>
          <w:sz w:val="21"/>
          <w:szCs w:val="21"/>
        </w:rPr>
        <w:t>equipment</w:t>
      </w:r>
      <w:r w:rsidR="00B72AF0" w:rsidRPr="00976A03">
        <w:rPr>
          <w:rFonts w:cstheme="minorHAnsi"/>
          <w:sz w:val="21"/>
          <w:szCs w:val="21"/>
        </w:rPr>
        <w:t xml:space="preserve"> </w:t>
      </w:r>
      <w:r w:rsidR="002B234A" w:rsidRPr="00976A03">
        <w:rPr>
          <w:rFonts w:cstheme="minorHAnsi"/>
          <w:sz w:val="21"/>
          <w:szCs w:val="21"/>
        </w:rPr>
        <w:t>upon rec</w:t>
      </w:r>
      <w:r w:rsidR="002001B1" w:rsidRPr="00976A03">
        <w:rPr>
          <w:rFonts w:cstheme="minorHAnsi"/>
          <w:sz w:val="21"/>
          <w:szCs w:val="21"/>
        </w:rPr>
        <w:t>eipt of goods</w:t>
      </w:r>
      <w:r w:rsidR="00E44B89" w:rsidRPr="00976A03">
        <w:rPr>
          <w:rFonts w:cstheme="minorHAnsi"/>
          <w:sz w:val="21"/>
          <w:szCs w:val="21"/>
        </w:rPr>
        <w:t>.</w:t>
      </w:r>
      <w:r w:rsidR="007E49B6" w:rsidRPr="00976A03">
        <w:rPr>
          <w:rFonts w:cstheme="minorHAnsi"/>
          <w:sz w:val="21"/>
          <w:szCs w:val="21"/>
        </w:rPr>
        <w:t xml:space="preserve"> </w:t>
      </w:r>
      <w:r w:rsidR="00E44B89" w:rsidRPr="00976A03">
        <w:rPr>
          <w:rFonts w:cstheme="minorHAnsi"/>
          <w:sz w:val="21"/>
          <w:szCs w:val="21"/>
        </w:rPr>
        <w:t>A</w:t>
      </w:r>
      <w:r w:rsidR="00FE5D7C" w:rsidRPr="00976A03">
        <w:rPr>
          <w:rFonts w:cstheme="minorHAnsi"/>
          <w:sz w:val="21"/>
          <w:szCs w:val="21"/>
        </w:rPr>
        <w:t xml:space="preserve">ll equipment must be transferred. </w:t>
      </w:r>
    </w:p>
    <w:p w14:paraId="1EB08024" w14:textId="076EA328" w:rsidR="00CC543C" w:rsidRPr="00976A03" w:rsidRDefault="00483114" w:rsidP="00CC543C">
      <w:pPr>
        <w:spacing w:after="200" w:line="240" w:lineRule="auto"/>
        <w:ind w:left="-567" w:right="686"/>
        <w:jc w:val="both"/>
        <w:rPr>
          <w:rFonts w:cstheme="minorHAnsi"/>
          <w:b/>
          <w:sz w:val="21"/>
          <w:szCs w:val="21"/>
        </w:rPr>
      </w:pPr>
      <w:r w:rsidRPr="00976A03">
        <w:rPr>
          <w:rFonts w:cstheme="minorHAnsi"/>
          <w:sz w:val="21"/>
          <w:szCs w:val="21"/>
        </w:rPr>
        <w:t>We also do not</w:t>
      </w:r>
      <w:r w:rsidR="00FE5D7C" w:rsidRPr="00976A03">
        <w:rPr>
          <w:rFonts w:cstheme="minorHAnsi"/>
          <w:sz w:val="21"/>
          <w:szCs w:val="21"/>
        </w:rPr>
        <w:t xml:space="preserve"> provide empty equipment to customers</w:t>
      </w:r>
      <w:r w:rsidR="00D23E38" w:rsidRPr="00976A03">
        <w:rPr>
          <w:rFonts w:cstheme="minorHAnsi"/>
          <w:sz w:val="21"/>
          <w:szCs w:val="21"/>
        </w:rPr>
        <w:t xml:space="preserve"> </w:t>
      </w:r>
      <w:r w:rsidR="00EC5A03" w:rsidRPr="00976A03">
        <w:rPr>
          <w:rFonts w:cstheme="minorHAnsi"/>
          <w:sz w:val="21"/>
          <w:szCs w:val="21"/>
        </w:rPr>
        <w:t xml:space="preserve">OR </w:t>
      </w:r>
      <w:r w:rsidR="00D23E38" w:rsidRPr="00976A03">
        <w:rPr>
          <w:rFonts w:cstheme="minorHAnsi"/>
          <w:sz w:val="21"/>
          <w:szCs w:val="21"/>
        </w:rPr>
        <w:t>suppliers</w:t>
      </w:r>
      <w:r w:rsidR="00EC5A03" w:rsidRPr="00976A03">
        <w:rPr>
          <w:rFonts w:cstheme="minorHAnsi"/>
          <w:sz w:val="21"/>
          <w:szCs w:val="21"/>
        </w:rPr>
        <w:t xml:space="preserve">. </w:t>
      </w:r>
    </w:p>
    <w:p w14:paraId="354D8070" w14:textId="06B51B66" w:rsidR="00CC543C" w:rsidRPr="00976A03" w:rsidRDefault="00A03427" w:rsidP="00CC543C">
      <w:pPr>
        <w:spacing w:after="200" w:line="240" w:lineRule="auto"/>
        <w:ind w:left="-567" w:right="686"/>
        <w:jc w:val="both"/>
        <w:rPr>
          <w:rFonts w:cstheme="minorHAnsi"/>
          <w:b/>
          <w:sz w:val="21"/>
          <w:szCs w:val="21"/>
        </w:rPr>
      </w:pPr>
      <w:r w:rsidRPr="00976A0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7FF40" wp14:editId="28E9001F">
                <wp:simplePos x="0" y="0"/>
                <wp:positionH relativeFrom="page">
                  <wp:posOffset>-10408853</wp:posOffset>
                </wp:positionH>
                <wp:positionV relativeFrom="paragraph">
                  <wp:posOffset>674904</wp:posOffset>
                </wp:positionV>
                <wp:extent cx="7717790" cy="1440815"/>
                <wp:effectExtent l="0" t="0" r="16510" b="260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7790" cy="144081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2A81FF" w14:textId="77777777" w:rsidR="002847C2" w:rsidRPr="006C48A2" w:rsidRDefault="002847C2" w:rsidP="002847C2">
                            <w:pPr>
                              <w:jc w:val="center"/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7FF40" id="Rectangle 7" o:spid="_x0000_s1026" style="position:absolute;left:0;text-align:left;margin-left:-819.6pt;margin-top:53.15pt;width:607.7pt;height:1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" fillcolor="#272727 [2749]" strokecolor="#272727 [2749]" strokeweight="1pt">
                <v:textbox>
                  <w:txbxContent>
                    <w:p w14:paraId="582A81FF" w14:textId="77777777" w:rsidR="002847C2" w:rsidRPr="006C48A2" w:rsidRDefault="002847C2" w:rsidP="002847C2">
                      <w:pPr>
                        <w:jc w:val="center"/>
                        <w:rPr>
                          <w:rFonts w:ascii="Open Sans Light" w:hAnsi="Open Sans Light" w:cs="Open Sans Light"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001B1" w:rsidRPr="00976A03">
        <w:rPr>
          <w:rFonts w:cstheme="minorHAnsi"/>
          <w:sz w:val="21"/>
          <w:szCs w:val="21"/>
        </w:rPr>
        <w:t>Upon delivery of goods</w:t>
      </w:r>
      <w:r w:rsidR="00E44B89" w:rsidRPr="00976A03">
        <w:rPr>
          <w:rFonts w:cstheme="minorHAnsi"/>
          <w:sz w:val="21"/>
          <w:szCs w:val="21"/>
        </w:rPr>
        <w:t>,</w:t>
      </w:r>
      <w:r w:rsidR="00F05689" w:rsidRPr="00976A03">
        <w:rPr>
          <w:rFonts w:cstheme="minorHAnsi"/>
          <w:sz w:val="21"/>
          <w:szCs w:val="21"/>
        </w:rPr>
        <w:t xml:space="preserve"> </w:t>
      </w:r>
      <w:r w:rsidR="00C459E3" w:rsidRPr="00976A03">
        <w:rPr>
          <w:rFonts w:cstheme="minorHAnsi"/>
          <w:sz w:val="21"/>
          <w:szCs w:val="21"/>
        </w:rPr>
        <w:t xml:space="preserve">a </w:t>
      </w:r>
      <w:r w:rsidR="00FB4EA3" w:rsidRPr="00976A03">
        <w:rPr>
          <w:rFonts w:cstheme="minorHAnsi"/>
          <w:sz w:val="21"/>
          <w:szCs w:val="21"/>
        </w:rPr>
        <w:t xml:space="preserve">pallet </w:t>
      </w:r>
      <w:r w:rsidR="00C459E3" w:rsidRPr="00976A03">
        <w:rPr>
          <w:rFonts w:cstheme="minorHAnsi"/>
          <w:sz w:val="21"/>
          <w:szCs w:val="21"/>
        </w:rPr>
        <w:t xml:space="preserve">transfer docket must be provided. Transferring the pallets </w:t>
      </w:r>
      <w:r w:rsidR="00483114" w:rsidRPr="00976A03">
        <w:rPr>
          <w:rFonts w:cstheme="minorHAnsi"/>
          <w:sz w:val="21"/>
          <w:szCs w:val="21"/>
        </w:rPr>
        <w:t xml:space="preserve">to us </w:t>
      </w:r>
      <w:r w:rsidR="00C459E3" w:rsidRPr="00976A03">
        <w:rPr>
          <w:rFonts w:cstheme="minorHAnsi"/>
          <w:sz w:val="21"/>
          <w:szCs w:val="21"/>
        </w:rPr>
        <w:t xml:space="preserve">from </w:t>
      </w:r>
      <w:r w:rsidR="00F05689" w:rsidRPr="00976A03">
        <w:rPr>
          <w:rFonts w:cstheme="minorHAnsi"/>
          <w:sz w:val="21"/>
          <w:szCs w:val="21"/>
        </w:rPr>
        <w:t xml:space="preserve">the </w:t>
      </w:r>
      <w:r w:rsidR="00FE5D7C" w:rsidRPr="00976A03">
        <w:rPr>
          <w:rFonts w:cstheme="minorHAnsi"/>
          <w:sz w:val="21"/>
          <w:szCs w:val="21"/>
        </w:rPr>
        <w:t xml:space="preserve">sender or </w:t>
      </w:r>
      <w:r w:rsidR="00C459E3" w:rsidRPr="00976A03">
        <w:rPr>
          <w:rFonts w:cstheme="minorHAnsi"/>
          <w:sz w:val="21"/>
          <w:szCs w:val="21"/>
        </w:rPr>
        <w:t xml:space="preserve">the </w:t>
      </w:r>
      <w:r w:rsidR="00F05689" w:rsidRPr="00976A03">
        <w:rPr>
          <w:rFonts w:cstheme="minorHAnsi"/>
          <w:sz w:val="21"/>
          <w:szCs w:val="21"/>
        </w:rPr>
        <w:t xml:space="preserve">Transport Company </w:t>
      </w:r>
      <w:r w:rsidR="00C459E3" w:rsidRPr="00976A03">
        <w:rPr>
          <w:rFonts w:cstheme="minorHAnsi"/>
          <w:sz w:val="21"/>
          <w:szCs w:val="21"/>
        </w:rPr>
        <w:t>performing the delivery.</w:t>
      </w:r>
    </w:p>
    <w:p w14:paraId="3F273546" w14:textId="6EA91785" w:rsidR="00CC543C" w:rsidRPr="00976A03" w:rsidRDefault="002001B1" w:rsidP="00CC543C">
      <w:pPr>
        <w:spacing w:after="200" w:line="240" w:lineRule="auto"/>
        <w:ind w:left="-567" w:right="686"/>
        <w:jc w:val="both"/>
        <w:rPr>
          <w:rFonts w:cstheme="minorHAnsi"/>
          <w:b/>
          <w:sz w:val="21"/>
          <w:szCs w:val="21"/>
        </w:rPr>
      </w:pPr>
      <w:r w:rsidRPr="00976A03">
        <w:rPr>
          <w:rFonts w:cstheme="minorHAnsi"/>
          <w:sz w:val="21"/>
          <w:szCs w:val="21"/>
        </w:rPr>
        <w:t xml:space="preserve">If you require a </w:t>
      </w:r>
      <w:r w:rsidR="00FE5D7C" w:rsidRPr="00976A03">
        <w:rPr>
          <w:rFonts w:cstheme="minorHAnsi"/>
          <w:sz w:val="21"/>
          <w:szCs w:val="21"/>
        </w:rPr>
        <w:t xml:space="preserve">signed </w:t>
      </w:r>
      <w:r w:rsidRPr="00976A03">
        <w:rPr>
          <w:rFonts w:cstheme="minorHAnsi"/>
          <w:sz w:val="21"/>
          <w:szCs w:val="21"/>
        </w:rPr>
        <w:t xml:space="preserve">copy of the </w:t>
      </w:r>
      <w:r w:rsidR="00FE5D7C" w:rsidRPr="00976A03">
        <w:rPr>
          <w:rFonts w:cstheme="minorHAnsi"/>
          <w:sz w:val="21"/>
          <w:szCs w:val="21"/>
        </w:rPr>
        <w:t>transfer docket</w:t>
      </w:r>
      <w:r w:rsidRPr="00976A03">
        <w:rPr>
          <w:rFonts w:cstheme="minorHAnsi"/>
          <w:sz w:val="21"/>
          <w:szCs w:val="21"/>
        </w:rPr>
        <w:t>, you are to provide two (2) copies</w:t>
      </w:r>
      <w:r w:rsidR="00FB4EA3" w:rsidRPr="00976A03">
        <w:rPr>
          <w:rFonts w:cstheme="minorHAnsi"/>
          <w:sz w:val="21"/>
          <w:szCs w:val="21"/>
        </w:rPr>
        <w:t xml:space="preserve"> for signatures</w:t>
      </w:r>
      <w:r w:rsidR="00FE5D7C" w:rsidRPr="00976A03">
        <w:rPr>
          <w:rFonts w:cstheme="minorHAnsi"/>
          <w:sz w:val="21"/>
          <w:szCs w:val="21"/>
        </w:rPr>
        <w:t xml:space="preserve">. </w:t>
      </w:r>
      <w:r w:rsidRPr="00976A03">
        <w:rPr>
          <w:rFonts w:cstheme="minorHAnsi"/>
          <w:sz w:val="21"/>
          <w:szCs w:val="21"/>
        </w:rPr>
        <w:t xml:space="preserve">If only one transfer is provided, this will remain with </w:t>
      </w:r>
      <w:r w:rsidR="00483114" w:rsidRPr="00976A03">
        <w:rPr>
          <w:rFonts w:cstheme="minorHAnsi"/>
          <w:sz w:val="21"/>
          <w:szCs w:val="21"/>
        </w:rPr>
        <w:t>us</w:t>
      </w:r>
      <w:r w:rsidR="00FE5D7C" w:rsidRPr="00976A03">
        <w:rPr>
          <w:rFonts w:cstheme="minorHAnsi"/>
          <w:sz w:val="21"/>
          <w:szCs w:val="21"/>
        </w:rPr>
        <w:t>.</w:t>
      </w:r>
      <w:r w:rsidR="00C459E3" w:rsidRPr="00976A03">
        <w:rPr>
          <w:rFonts w:cstheme="minorHAnsi"/>
          <w:sz w:val="21"/>
          <w:szCs w:val="21"/>
        </w:rPr>
        <w:t xml:space="preserve"> </w:t>
      </w:r>
    </w:p>
    <w:p w14:paraId="7BD02CE7" w14:textId="35FF011D" w:rsidR="00C022D4" w:rsidRPr="00976A03" w:rsidRDefault="00F50969" w:rsidP="00CC543C">
      <w:pPr>
        <w:spacing w:after="200" w:line="240" w:lineRule="auto"/>
        <w:ind w:left="-567" w:right="686"/>
        <w:jc w:val="both"/>
        <w:rPr>
          <w:rFonts w:cstheme="minorHAnsi"/>
          <w:b/>
          <w:sz w:val="21"/>
          <w:szCs w:val="21"/>
        </w:rPr>
      </w:pPr>
      <w:r w:rsidRPr="00976A03">
        <w:rPr>
          <w:rFonts w:cstheme="minorHAnsi"/>
          <w:sz w:val="21"/>
          <w:szCs w:val="21"/>
        </w:rPr>
        <w:t xml:space="preserve">By transacting pallet movements with the account number listed </w:t>
      </w:r>
      <w:r w:rsidR="00D23E38" w:rsidRPr="00976A03">
        <w:rPr>
          <w:rFonts w:cstheme="minorHAnsi"/>
          <w:sz w:val="21"/>
          <w:szCs w:val="21"/>
        </w:rPr>
        <w:t>below</w:t>
      </w:r>
      <w:r w:rsidRPr="00976A03">
        <w:rPr>
          <w:rFonts w:cstheme="minorHAnsi"/>
          <w:sz w:val="21"/>
          <w:szCs w:val="21"/>
        </w:rPr>
        <w:t xml:space="preserve">, agreement to this Pooled Equipment Policy is recognised, </w:t>
      </w:r>
      <w:r w:rsidR="001C04C3" w:rsidRPr="00976A03">
        <w:rPr>
          <w:rFonts w:cstheme="minorHAnsi"/>
          <w:sz w:val="21"/>
          <w:szCs w:val="21"/>
        </w:rPr>
        <w:t>acknowledged,</w:t>
      </w:r>
      <w:r w:rsidRPr="00976A03">
        <w:rPr>
          <w:rFonts w:cstheme="minorHAnsi"/>
          <w:sz w:val="21"/>
          <w:szCs w:val="21"/>
        </w:rPr>
        <w:t xml:space="preserve"> and accepted</w:t>
      </w:r>
    </w:p>
    <w:p w14:paraId="1FFC2C70" w14:textId="10CD30CC" w:rsidR="004B3744" w:rsidRPr="00976A03" w:rsidRDefault="004B3744" w:rsidP="004B3744">
      <w:pPr>
        <w:spacing w:after="200" w:line="240" w:lineRule="auto"/>
        <w:ind w:left="-567" w:right="686"/>
        <w:jc w:val="both"/>
        <w:rPr>
          <w:rFonts w:cstheme="minorHAnsi"/>
          <w:b/>
          <w:bCs/>
          <w:sz w:val="21"/>
          <w:szCs w:val="21"/>
        </w:rPr>
      </w:pPr>
      <w:r w:rsidRPr="00976A03">
        <w:rPr>
          <w:rFonts w:cstheme="minorHAnsi"/>
          <w:b/>
          <w:bCs/>
          <w:sz w:val="21"/>
          <w:szCs w:val="21"/>
        </w:rPr>
        <w:t>Locations</w:t>
      </w:r>
    </w:p>
    <w:p w14:paraId="284176BE" w14:textId="2A2980CC" w:rsidR="004B3744" w:rsidRPr="00976A03" w:rsidRDefault="004B3744" w:rsidP="004B3744">
      <w:pPr>
        <w:spacing w:after="200" w:line="240" w:lineRule="auto"/>
        <w:ind w:left="-567" w:right="686"/>
        <w:rPr>
          <w:rFonts w:cstheme="minorHAnsi"/>
          <w:sz w:val="21"/>
          <w:szCs w:val="21"/>
        </w:rPr>
      </w:pPr>
      <w:r w:rsidRPr="00976A03">
        <w:rPr>
          <w:rFonts w:cstheme="minorHAnsi"/>
          <w:sz w:val="21"/>
          <w:szCs w:val="21"/>
        </w:rPr>
        <w:t xml:space="preserve">The policy covers the following </w:t>
      </w:r>
      <w:proofErr w:type="gramStart"/>
      <w:r w:rsidRPr="00976A03">
        <w:rPr>
          <w:rFonts w:cstheme="minorHAnsi"/>
          <w:sz w:val="21"/>
          <w:szCs w:val="21"/>
        </w:rPr>
        <w:t>sites;</w:t>
      </w:r>
      <w:proofErr w:type="gramEnd"/>
    </w:p>
    <w:p w14:paraId="47B0DD82" w14:textId="777185FC" w:rsidR="004B3744" w:rsidRPr="00976A03" w:rsidRDefault="00EC5A03" w:rsidP="004B3744">
      <w:pPr>
        <w:pStyle w:val="ListParagraph"/>
        <w:numPr>
          <w:ilvl w:val="0"/>
          <w:numId w:val="10"/>
        </w:numPr>
        <w:spacing w:after="200" w:line="240" w:lineRule="auto"/>
        <w:ind w:right="686"/>
        <w:rPr>
          <w:rFonts w:cstheme="minorHAnsi"/>
          <w:sz w:val="21"/>
          <w:szCs w:val="21"/>
        </w:rPr>
      </w:pPr>
      <w:r w:rsidRPr="00976A03">
        <w:rPr>
          <w:rFonts w:cstheme="minorHAnsi"/>
          <w:b/>
          <w:bCs/>
          <w:sz w:val="21"/>
          <w:szCs w:val="21"/>
        </w:rPr>
        <w:t>Brisbane – 71 Charles Ulm Place, Eagle Farm QLD</w:t>
      </w:r>
    </w:p>
    <w:p w14:paraId="0046A545" w14:textId="714F3F1F" w:rsidR="00E9746D" w:rsidRPr="00976A03" w:rsidRDefault="00E9746D" w:rsidP="004B3744">
      <w:pPr>
        <w:pStyle w:val="ListParagraph"/>
        <w:numPr>
          <w:ilvl w:val="0"/>
          <w:numId w:val="10"/>
        </w:numPr>
        <w:spacing w:after="200" w:line="240" w:lineRule="auto"/>
        <w:ind w:right="686"/>
        <w:rPr>
          <w:rFonts w:cstheme="minorHAnsi"/>
          <w:b/>
          <w:bCs/>
          <w:sz w:val="21"/>
          <w:szCs w:val="21"/>
        </w:rPr>
      </w:pPr>
      <w:r w:rsidRPr="00976A03">
        <w:rPr>
          <w:rFonts w:cstheme="minorHAnsi"/>
          <w:b/>
          <w:bCs/>
          <w:sz w:val="21"/>
          <w:szCs w:val="21"/>
        </w:rPr>
        <w:t>Perth – 38-40 Magnet Road, Canning Vale WA</w:t>
      </w:r>
    </w:p>
    <w:p w14:paraId="06A769A5" w14:textId="5208C832" w:rsidR="00C022D4" w:rsidRPr="00976A03" w:rsidRDefault="00C022D4" w:rsidP="00C022D4">
      <w:pPr>
        <w:spacing w:after="200" w:line="240" w:lineRule="auto"/>
        <w:ind w:left="-567" w:right="686"/>
        <w:jc w:val="both"/>
        <w:rPr>
          <w:rFonts w:cstheme="minorHAnsi"/>
          <w:b/>
          <w:bCs/>
          <w:sz w:val="21"/>
          <w:szCs w:val="21"/>
        </w:rPr>
      </w:pPr>
      <w:r w:rsidRPr="00976A03">
        <w:rPr>
          <w:rFonts w:cstheme="minorHAnsi"/>
          <w:b/>
          <w:bCs/>
          <w:sz w:val="21"/>
          <w:szCs w:val="21"/>
        </w:rPr>
        <w:t>Equipment Types</w:t>
      </w:r>
      <w:r w:rsidR="001D0452" w:rsidRPr="00976A03">
        <w:rPr>
          <w:rFonts w:cstheme="minorHAnsi"/>
          <w:b/>
          <w:bCs/>
          <w:sz w:val="21"/>
          <w:szCs w:val="21"/>
        </w:rPr>
        <w:t xml:space="preserve"> </w:t>
      </w:r>
    </w:p>
    <w:p w14:paraId="05FDED22" w14:textId="77777777" w:rsidR="00FD207C" w:rsidRPr="00976A03" w:rsidRDefault="00C022D4" w:rsidP="00C022D4">
      <w:pPr>
        <w:spacing w:after="200" w:line="240" w:lineRule="auto"/>
        <w:ind w:left="-567" w:right="686"/>
        <w:rPr>
          <w:rFonts w:cstheme="minorHAnsi"/>
          <w:sz w:val="21"/>
          <w:szCs w:val="21"/>
        </w:rPr>
      </w:pPr>
      <w:r w:rsidRPr="00976A03">
        <w:rPr>
          <w:rFonts w:cstheme="minorHAnsi"/>
          <w:sz w:val="21"/>
          <w:szCs w:val="21"/>
        </w:rPr>
        <w:t>W</w:t>
      </w:r>
      <w:r w:rsidR="00FD207C" w:rsidRPr="00976A03">
        <w:rPr>
          <w:rFonts w:cstheme="minorHAnsi"/>
          <w:sz w:val="21"/>
          <w:szCs w:val="21"/>
        </w:rPr>
        <w:t>e only</w:t>
      </w:r>
      <w:r w:rsidRPr="00976A03">
        <w:rPr>
          <w:rFonts w:cstheme="minorHAnsi"/>
          <w:sz w:val="21"/>
          <w:szCs w:val="21"/>
        </w:rPr>
        <w:t xml:space="preserve"> accept </w:t>
      </w:r>
      <w:r w:rsidR="00FD207C" w:rsidRPr="00976A03">
        <w:rPr>
          <w:rFonts w:cstheme="minorHAnsi"/>
          <w:sz w:val="21"/>
          <w:szCs w:val="21"/>
        </w:rPr>
        <w:t xml:space="preserve">the following equipment </w:t>
      </w:r>
      <w:proofErr w:type="gramStart"/>
      <w:r w:rsidR="00FD207C" w:rsidRPr="00976A03">
        <w:rPr>
          <w:rFonts w:cstheme="minorHAnsi"/>
          <w:sz w:val="21"/>
          <w:szCs w:val="21"/>
        </w:rPr>
        <w:t>types;</w:t>
      </w:r>
      <w:proofErr w:type="gramEnd"/>
    </w:p>
    <w:p w14:paraId="0D8A1DD7" w14:textId="2B4AADCC" w:rsidR="00C022D4" w:rsidRPr="00976A03" w:rsidRDefault="00EC5A03" w:rsidP="00FD207C">
      <w:pPr>
        <w:pStyle w:val="ListParagraph"/>
        <w:numPr>
          <w:ilvl w:val="0"/>
          <w:numId w:val="10"/>
        </w:numPr>
        <w:spacing w:after="200" w:line="240" w:lineRule="auto"/>
        <w:ind w:right="686"/>
        <w:rPr>
          <w:rFonts w:cstheme="minorHAnsi"/>
          <w:sz w:val="21"/>
          <w:szCs w:val="21"/>
        </w:rPr>
      </w:pPr>
      <w:r w:rsidRPr="00976A03">
        <w:rPr>
          <w:rFonts w:cstheme="minorHAnsi"/>
          <w:b/>
          <w:bCs/>
          <w:sz w:val="21"/>
          <w:szCs w:val="21"/>
        </w:rPr>
        <w:t xml:space="preserve">Loscam </w:t>
      </w:r>
      <w:r w:rsidR="00D41E17" w:rsidRPr="00976A03">
        <w:rPr>
          <w:rFonts w:cstheme="minorHAnsi"/>
          <w:b/>
          <w:bCs/>
          <w:sz w:val="21"/>
          <w:szCs w:val="21"/>
        </w:rPr>
        <w:t>W</w:t>
      </w:r>
      <w:r w:rsidRPr="00976A03">
        <w:rPr>
          <w:rFonts w:cstheme="minorHAnsi"/>
          <w:b/>
          <w:bCs/>
          <w:sz w:val="21"/>
          <w:szCs w:val="21"/>
        </w:rPr>
        <w:t xml:space="preserve">ooden </w:t>
      </w:r>
      <w:r w:rsidR="00D41E17" w:rsidRPr="00976A03">
        <w:rPr>
          <w:rFonts w:cstheme="minorHAnsi"/>
          <w:b/>
          <w:bCs/>
          <w:sz w:val="21"/>
          <w:szCs w:val="21"/>
        </w:rPr>
        <w:t>P</w:t>
      </w:r>
      <w:r w:rsidRPr="00976A03">
        <w:rPr>
          <w:rFonts w:cstheme="minorHAnsi"/>
          <w:b/>
          <w:bCs/>
          <w:sz w:val="21"/>
          <w:szCs w:val="21"/>
        </w:rPr>
        <w:t>allets</w:t>
      </w:r>
      <w:r w:rsidR="00D41E17" w:rsidRPr="00976A03">
        <w:rPr>
          <w:rFonts w:cstheme="minorHAnsi"/>
          <w:b/>
          <w:bCs/>
          <w:sz w:val="21"/>
          <w:szCs w:val="21"/>
        </w:rPr>
        <w:t xml:space="preserve"> (WP)</w:t>
      </w:r>
    </w:p>
    <w:p w14:paraId="631014AD" w14:textId="25D7C896" w:rsidR="00F50969" w:rsidRPr="00976A03" w:rsidRDefault="001D0452" w:rsidP="00F50969">
      <w:pPr>
        <w:spacing w:after="200" w:line="240" w:lineRule="auto"/>
        <w:ind w:left="-567" w:right="686"/>
        <w:jc w:val="both"/>
        <w:rPr>
          <w:rFonts w:cstheme="minorHAnsi"/>
          <w:b/>
          <w:bCs/>
          <w:sz w:val="21"/>
          <w:szCs w:val="21"/>
        </w:rPr>
      </w:pPr>
      <w:r w:rsidRPr="00976A03">
        <w:rPr>
          <w:rFonts w:cstheme="minorHAnsi"/>
          <w:b/>
          <w:bCs/>
          <w:sz w:val="21"/>
          <w:szCs w:val="21"/>
        </w:rPr>
        <w:t xml:space="preserve">Supplier Accounts </w:t>
      </w:r>
    </w:p>
    <w:p w14:paraId="20159C00" w14:textId="6AFA31EA" w:rsidR="00FD207C" w:rsidRPr="00976A03" w:rsidRDefault="00EC5A03" w:rsidP="00FD207C">
      <w:pPr>
        <w:pStyle w:val="ListParagraph"/>
        <w:numPr>
          <w:ilvl w:val="0"/>
          <w:numId w:val="10"/>
        </w:numPr>
        <w:spacing w:after="200" w:line="240" w:lineRule="auto"/>
        <w:ind w:right="686"/>
        <w:rPr>
          <w:rFonts w:cstheme="minorHAnsi"/>
          <w:sz w:val="21"/>
          <w:szCs w:val="21"/>
        </w:rPr>
      </w:pPr>
      <w:r w:rsidRPr="00976A03">
        <w:rPr>
          <w:rFonts w:cstheme="minorHAnsi"/>
          <w:b/>
          <w:bCs/>
          <w:sz w:val="21"/>
          <w:szCs w:val="21"/>
        </w:rPr>
        <w:t>PRIMUS AUST (Trading as Adventure Operation</w:t>
      </w:r>
      <w:r w:rsidR="00D41E17" w:rsidRPr="00976A03">
        <w:rPr>
          <w:rFonts w:cstheme="minorHAnsi"/>
          <w:b/>
          <w:bCs/>
          <w:sz w:val="21"/>
          <w:szCs w:val="21"/>
        </w:rPr>
        <w:t>s</w:t>
      </w:r>
      <w:r w:rsidRPr="00976A03">
        <w:rPr>
          <w:rFonts w:cstheme="minorHAnsi"/>
          <w:b/>
          <w:bCs/>
          <w:sz w:val="21"/>
          <w:szCs w:val="21"/>
        </w:rPr>
        <w:t xml:space="preserve">) Account Number 413193 </w:t>
      </w:r>
    </w:p>
    <w:p w14:paraId="4C1A4F50" w14:textId="77777777" w:rsidR="000B16D5" w:rsidRPr="00976A03" w:rsidRDefault="000B16D5">
      <w:pPr>
        <w:rPr>
          <w:rFonts w:cstheme="minorHAnsi"/>
          <w:b/>
          <w:bCs/>
          <w:sz w:val="21"/>
          <w:szCs w:val="21"/>
        </w:rPr>
      </w:pPr>
      <w:r w:rsidRPr="00976A03">
        <w:rPr>
          <w:rFonts w:cstheme="minorHAnsi"/>
          <w:b/>
          <w:bCs/>
          <w:sz w:val="21"/>
          <w:szCs w:val="21"/>
        </w:rPr>
        <w:br w:type="page"/>
      </w:r>
    </w:p>
    <w:p w14:paraId="42C8BF83" w14:textId="77777777" w:rsidR="000B16D5" w:rsidRPr="00976A03" w:rsidRDefault="000B16D5" w:rsidP="00D23E38">
      <w:pPr>
        <w:ind w:left="-207" w:hanging="360"/>
        <w:rPr>
          <w:rFonts w:cstheme="minorHAnsi"/>
          <w:b/>
          <w:bCs/>
          <w:sz w:val="21"/>
          <w:szCs w:val="21"/>
        </w:rPr>
      </w:pPr>
    </w:p>
    <w:p w14:paraId="6ACD7629" w14:textId="77777777" w:rsidR="000B16D5" w:rsidRPr="00976A03" w:rsidRDefault="000B16D5" w:rsidP="00D23E38">
      <w:pPr>
        <w:ind w:left="-207" w:hanging="360"/>
        <w:rPr>
          <w:rFonts w:cstheme="minorHAnsi"/>
          <w:b/>
          <w:bCs/>
          <w:sz w:val="21"/>
          <w:szCs w:val="21"/>
        </w:rPr>
      </w:pPr>
    </w:p>
    <w:p w14:paraId="658D3B48" w14:textId="2A67CA6D" w:rsidR="00CC543C" w:rsidRPr="00976A03" w:rsidRDefault="009D7514" w:rsidP="00D23E38">
      <w:pPr>
        <w:ind w:left="-207" w:hanging="360"/>
        <w:rPr>
          <w:rFonts w:cstheme="minorHAnsi"/>
          <w:sz w:val="21"/>
          <w:szCs w:val="21"/>
        </w:rPr>
      </w:pPr>
      <w:r w:rsidRPr="00976A03">
        <w:rPr>
          <w:rFonts w:cstheme="minorHAnsi"/>
          <w:b/>
          <w:bCs/>
          <w:sz w:val="21"/>
          <w:szCs w:val="21"/>
        </w:rPr>
        <w:t xml:space="preserve">Pallet Transfers </w:t>
      </w:r>
      <w:r w:rsidR="00EB21BE" w:rsidRPr="00976A03">
        <w:rPr>
          <w:rFonts w:cstheme="minorHAnsi"/>
          <w:b/>
          <w:bCs/>
          <w:sz w:val="21"/>
          <w:szCs w:val="21"/>
        </w:rPr>
        <w:t>ON</w:t>
      </w:r>
    </w:p>
    <w:p w14:paraId="7E1484F2" w14:textId="673AF66F" w:rsidR="00C459E3" w:rsidRPr="00976A03" w:rsidRDefault="009D7514" w:rsidP="00CC543C">
      <w:pPr>
        <w:spacing w:after="200" w:line="240" w:lineRule="auto"/>
        <w:ind w:left="-567" w:right="686"/>
        <w:jc w:val="both"/>
        <w:rPr>
          <w:rFonts w:cstheme="minorHAnsi"/>
          <w:b/>
          <w:bCs/>
          <w:sz w:val="21"/>
          <w:szCs w:val="21"/>
        </w:rPr>
      </w:pPr>
      <w:r w:rsidRPr="00976A03">
        <w:rPr>
          <w:rFonts w:cstheme="minorHAnsi"/>
          <w:sz w:val="21"/>
          <w:szCs w:val="21"/>
        </w:rPr>
        <w:t xml:space="preserve">No transfers onto </w:t>
      </w:r>
      <w:r w:rsidR="00483114" w:rsidRPr="00976A03">
        <w:rPr>
          <w:rFonts w:cstheme="minorHAnsi"/>
          <w:sz w:val="21"/>
          <w:szCs w:val="21"/>
        </w:rPr>
        <w:t xml:space="preserve">our </w:t>
      </w:r>
      <w:r w:rsidRPr="00976A03">
        <w:rPr>
          <w:rFonts w:cstheme="minorHAnsi"/>
          <w:sz w:val="21"/>
          <w:szCs w:val="21"/>
        </w:rPr>
        <w:t xml:space="preserve">account will be accepted without a </w:t>
      </w:r>
      <w:r w:rsidR="005A2EB8" w:rsidRPr="00976A03">
        <w:rPr>
          <w:rFonts w:cstheme="minorHAnsi"/>
          <w:sz w:val="21"/>
          <w:szCs w:val="21"/>
        </w:rPr>
        <w:t>clear and identifiable</w:t>
      </w:r>
      <w:r w:rsidRPr="00976A03">
        <w:rPr>
          <w:rFonts w:cstheme="minorHAnsi"/>
          <w:sz w:val="21"/>
          <w:szCs w:val="21"/>
        </w:rPr>
        <w:t xml:space="preserve"> signature and </w:t>
      </w:r>
      <w:r w:rsidR="00C459E3" w:rsidRPr="00976A03">
        <w:rPr>
          <w:rFonts w:cstheme="minorHAnsi"/>
          <w:sz w:val="21"/>
          <w:szCs w:val="21"/>
        </w:rPr>
        <w:t xml:space="preserve">agreed </w:t>
      </w:r>
      <w:r w:rsidR="005F5964" w:rsidRPr="00976A03">
        <w:rPr>
          <w:rFonts w:cstheme="minorHAnsi"/>
          <w:sz w:val="21"/>
          <w:szCs w:val="21"/>
        </w:rPr>
        <w:t>reference</w:t>
      </w:r>
      <w:r w:rsidR="002E3580" w:rsidRPr="00976A03">
        <w:rPr>
          <w:rFonts w:cstheme="minorHAnsi"/>
          <w:sz w:val="21"/>
          <w:szCs w:val="21"/>
        </w:rPr>
        <w:t xml:space="preserve"> </w:t>
      </w:r>
      <w:r w:rsidRPr="00976A03">
        <w:rPr>
          <w:rFonts w:cstheme="minorHAnsi"/>
          <w:sz w:val="21"/>
          <w:szCs w:val="21"/>
        </w:rPr>
        <w:t>clearly recorded</w:t>
      </w:r>
      <w:r w:rsidR="002E3580" w:rsidRPr="00976A03">
        <w:rPr>
          <w:rFonts w:cstheme="minorHAnsi"/>
          <w:sz w:val="21"/>
          <w:szCs w:val="21"/>
        </w:rPr>
        <w:t>.</w:t>
      </w:r>
      <w:r w:rsidR="00445D70" w:rsidRPr="00976A03">
        <w:rPr>
          <w:rFonts w:cstheme="minorHAnsi"/>
          <w:sz w:val="21"/>
          <w:szCs w:val="21"/>
        </w:rPr>
        <w:t xml:space="preserve"> </w:t>
      </w:r>
    </w:p>
    <w:p w14:paraId="7154D601" w14:textId="35D47487" w:rsidR="00386151" w:rsidRPr="00976A03" w:rsidRDefault="00FB4EA3" w:rsidP="00CC543C">
      <w:pPr>
        <w:spacing w:after="200" w:line="240" w:lineRule="auto"/>
        <w:ind w:left="-567" w:right="686"/>
        <w:jc w:val="both"/>
        <w:rPr>
          <w:rFonts w:cstheme="minorHAnsi"/>
          <w:sz w:val="21"/>
          <w:szCs w:val="21"/>
        </w:rPr>
      </w:pPr>
      <w:r w:rsidRPr="00976A03">
        <w:rPr>
          <w:rFonts w:cstheme="minorHAnsi"/>
          <w:sz w:val="21"/>
          <w:szCs w:val="21"/>
        </w:rPr>
        <w:t xml:space="preserve">It is the </w:t>
      </w:r>
      <w:r w:rsidR="00FD207C" w:rsidRPr="00976A03">
        <w:rPr>
          <w:rFonts w:cstheme="minorHAnsi"/>
          <w:sz w:val="21"/>
          <w:szCs w:val="21"/>
        </w:rPr>
        <w:t xml:space="preserve">sender’s </w:t>
      </w:r>
      <w:r w:rsidRPr="00976A03">
        <w:rPr>
          <w:rFonts w:cstheme="minorHAnsi"/>
          <w:sz w:val="21"/>
          <w:szCs w:val="21"/>
        </w:rPr>
        <w:t xml:space="preserve">responsibility </w:t>
      </w:r>
      <w:r w:rsidR="009D7514" w:rsidRPr="00976A03">
        <w:rPr>
          <w:rFonts w:cstheme="minorHAnsi"/>
          <w:sz w:val="21"/>
          <w:szCs w:val="21"/>
        </w:rPr>
        <w:t>to ensure all pallet transfer documentation is filled out correctly</w:t>
      </w:r>
      <w:r w:rsidR="00C459E3" w:rsidRPr="00976A03">
        <w:rPr>
          <w:rFonts w:cstheme="minorHAnsi"/>
          <w:sz w:val="21"/>
          <w:szCs w:val="21"/>
        </w:rPr>
        <w:t xml:space="preserve"> and processed with the supplier. </w:t>
      </w:r>
      <w:r w:rsidR="002E3580" w:rsidRPr="00976A03">
        <w:rPr>
          <w:rFonts w:cstheme="minorHAnsi"/>
          <w:sz w:val="21"/>
          <w:szCs w:val="21"/>
        </w:rPr>
        <w:t>Failure to do so may result in correction or rejection of the transfer.</w:t>
      </w:r>
    </w:p>
    <w:p w14:paraId="59C67BC3" w14:textId="0FE63DC4" w:rsidR="00853690" w:rsidRPr="00976A03" w:rsidRDefault="00483114" w:rsidP="00CC543C">
      <w:pPr>
        <w:spacing w:after="200" w:line="240" w:lineRule="auto"/>
        <w:ind w:left="-567" w:right="686"/>
        <w:jc w:val="both"/>
        <w:rPr>
          <w:rFonts w:cstheme="minorHAnsi"/>
          <w:sz w:val="21"/>
          <w:szCs w:val="21"/>
        </w:rPr>
      </w:pPr>
      <w:r w:rsidRPr="00976A03">
        <w:rPr>
          <w:rFonts w:cstheme="minorHAnsi"/>
          <w:sz w:val="21"/>
          <w:szCs w:val="21"/>
        </w:rPr>
        <w:t xml:space="preserve">We </w:t>
      </w:r>
      <w:r w:rsidR="00445D70" w:rsidRPr="00976A03">
        <w:rPr>
          <w:rFonts w:cstheme="minorHAnsi"/>
          <w:sz w:val="21"/>
          <w:szCs w:val="21"/>
        </w:rPr>
        <w:t xml:space="preserve">reserve the right to amend </w:t>
      </w:r>
      <w:r w:rsidR="00FD6594" w:rsidRPr="00976A03">
        <w:rPr>
          <w:rFonts w:cstheme="minorHAnsi"/>
          <w:sz w:val="21"/>
          <w:szCs w:val="21"/>
        </w:rPr>
        <w:t xml:space="preserve">or reject </w:t>
      </w:r>
      <w:r w:rsidR="00445D70" w:rsidRPr="00976A03">
        <w:rPr>
          <w:rFonts w:cstheme="minorHAnsi"/>
          <w:sz w:val="21"/>
          <w:szCs w:val="21"/>
        </w:rPr>
        <w:t>if the transfer is deemed incorrect upon arrival</w:t>
      </w:r>
      <w:r w:rsidR="00FD6594" w:rsidRPr="00976A03">
        <w:rPr>
          <w:rFonts w:cstheme="minorHAnsi"/>
          <w:sz w:val="21"/>
          <w:szCs w:val="21"/>
        </w:rPr>
        <w:t>.</w:t>
      </w:r>
    </w:p>
    <w:p w14:paraId="1B6BD043" w14:textId="72DD5EA8" w:rsidR="00853690" w:rsidRPr="00976A03" w:rsidRDefault="00D23E38" w:rsidP="00CC543C">
      <w:pPr>
        <w:spacing w:after="200" w:line="240" w:lineRule="auto"/>
        <w:ind w:left="-567" w:right="686"/>
        <w:jc w:val="both"/>
        <w:rPr>
          <w:rFonts w:cstheme="minorHAnsi"/>
          <w:sz w:val="21"/>
          <w:szCs w:val="21"/>
        </w:rPr>
      </w:pPr>
      <w:r w:rsidRPr="00976A03">
        <w:rPr>
          <w:rFonts w:cstheme="minorHAnsi"/>
          <w:sz w:val="21"/>
          <w:szCs w:val="21"/>
        </w:rPr>
        <w:t>T</w:t>
      </w:r>
      <w:r w:rsidR="006C1F88" w:rsidRPr="00976A03">
        <w:rPr>
          <w:rFonts w:cstheme="minorHAnsi"/>
          <w:sz w:val="21"/>
          <w:szCs w:val="21"/>
        </w:rPr>
        <w:t xml:space="preserve">he </w:t>
      </w:r>
      <w:r w:rsidR="00853690" w:rsidRPr="00976A03">
        <w:rPr>
          <w:rFonts w:cstheme="minorHAnsi"/>
          <w:sz w:val="21"/>
          <w:szCs w:val="21"/>
        </w:rPr>
        <w:t>transfer date</w:t>
      </w:r>
      <w:r w:rsidR="006C1F88" w:rsidRPr="00976A03">
        <w:rPr>
          <w:rFonts w:cstheme="minorHAnsi"/>
          <w:sz w:val="21"/>
          <w:szCs w:val="21"/>
        </w:rPr>
        <w:t xml:space="preserve"> on the docket will be the </w:t>
      </w:r>
      <w:r w:rsidR="00853690" w:rsidRPr="00976A03">
        <w:rPr>
          <w:rFonts w:cstheme="minorHAnsi"/>
          <w:sz w:val="21"/>
          <w:szCs w:val="21"/>
        </w:rPr>
        <w:t xml:space="preserve">date </w:t>
      </w:r>
      <w:r w:rsidR="006C1F88" w:rsidRPr="00976A03">
        <w:rPr>
          <w:rFonts w:cstheme="minorHAnsi"/>
          <w:sz w:val="21"/>
          <w:szCs w:val="21"/>
        </w:rPr>
        <w:t xml:space="preserve">received into our location or collected </w:t>
      </w:r>
      <w:r w:rsidR="00FB4EA3" w:rsidRPr="00976A03">
        <w:rPr>
          <w:rFonts w:cstheme="minorHAnsi"/>
          <w:sz w:val="21"/>
          <w:szCs w:val="21"/>
        </w:rPr>
        <w:t xml:space="preserve">from the </w:t>
      </w:r>
      <w:r w:rsidR="00054895" w:rsidRPr="00976A03">
        <w:rPr>
          <w:rFonts w:cstheme="minorHAnsi"/>
          <w:sz w:val="21"/>
          <w:szCs w:val="21"/>
        </w:rPr>
        <w:t>sender</w:t>
      </w:r>
      <w:r w:rsidR="006C1F88" w:rsidRPr="00976A03">
        <w:rPr>
          <w:rFonts w:cstheme="minorHAnsi"/>
          <w:sz w:val="21"/>
          <w:szCs w:val="21"/>
        </w:rPr>
        <w:t xml:space="preserve">.  The </w:t>
      </w:r>
      <w:r w:rsidR="00853690" w:rsidRPr="00976A03">
        <w:rPr>
          <w:rFonts w:cstheme="minorHAnsi"/>
          <w:sz w:val="21"/>
          <w:szCs w:val="21"/>
        </w:rPr>
        <w:t xml:space="preserve">effective </w:t>
      </w:r>
      <w:r w:rsidRPr="00976A03">
        <w:rPr>
          <w:rFonts w:cstheme="minorHAnsi"/>
          <w:sz w:val="21"/>
          <w:szCs w:val="21"/>
        </w:rPr>
        <w:t>d</w:t>
      </w:r>
      <w:r w:rsidR="00853690" w:rsidRPr="00976A03">
        <w:rPr>
          <w:rFonts w:cstheme="minorHAnsi"/>
          <w:sz w:val="21"/>
          <w:szCs w:val="21"/>
        </w:rPr>
        <w:t>ate</w:t>
      </w:r>
      <w:r w:rsidR="000905F1" w:rsidRPr="00976A03">
        <w:rPr>
          <w:rFonts w:cstheme="minorHAnsi"/>
          <w:sz w:val="21"/>
          <w:szCs w:val="21"/>
        </w:rPr>
        <w:t xml:space="preserve"> is the same date the stock was received.</w:t>
      </w:r>
    </w:p>
    <w:p w14:paraId="46D9BCB1" w14:textId="4DB72433" w:rsidR="00CC543C" w:rsidRPr="00976A03" w:rsidRDefault="00C459E3" w:rsidP="00CC543C">
      <w:pPr>
        <w:spacing w:after="200" w:line="240" w:lineRule="auto"/>
        <w:ind w:left="-567" w:right="686"/>
        <w:jc w:val="both"/>
        <w:rPr>
          <w:rFonts w:cstheme="minorHAnsi"/>
          <w:b/>
          <w:bCs/>
          <w:sz w:val="21"/>
          <w:szCs w:val="21"/>
        </w:rPr>
      </w:pPr>
      <w:r w:rsidRPr="00976A03">
        <w:rPr>
          <w:rFonts w:cstheme="minorHAnsi"/>
          <w:b/>
          <w:bCs/>
          <w:sz w:val="21"/>
          <w:szCs w:val="21"/>
        </w:rPr>
        <w:t xml:space="preserve">Pallet Transfers </w:t>
      </w:r>
      <w:r w:rsidR="00EB21BE" w:rsidRPr="00976A03">
        <w:rPr>
          <w:rFonts w:cstheme="minorHAnsi"/>
          <w:b/>
          <w:bCs/>
          <w:sz w:val="21"/>
          <w:szCs w:val="21"/>
        </w:rPr>
        <w:t>OFF</w:t>
      </w:r>
    </w:p>
    <w:p w14:paraId="06FA8A50" w14:textId="77777777" w:rsidR="00E962B5" w:rsidRPr="00976A03" w:rsidRDefault="00483114" w:rsidP="00CC543C">
      <w:pPr>
        <w:spacing w:after="200" w:line="240" w:lineRule="auto"/>
        <w:ind w:left="-567" w:right="686"/>
        <w:jc w:val="both"/>
        <w:rPr>
          <w:rFonts w:cstheme="minorHAnsi"/>
          <w:sz w:val="21"/>
          <w:szCs w:val="21"/>
        </w:rPr>
      </w:pPr>
      <w:r w:rsidRPr="00976A03">
        <w:rPr>
          <w:rFonts w:cstheme="minorHAnsi"/>
          <w:sz w:val="21"/>
          <w:szCs w:val="21"/>
        </w:rPr>
        <w:t xml:space="preserve">We </w:t>
      </w:r>
      <w:r w:rsidR="00C459E3" w:rsidRPr="00976A03">
        <w:rPr>
          <w:rFonts w:cstheme="minorHAnsi"/>
          <w:sz w:val="21"/>
          <w:szCs w:val="21"/>
        </w:rPr>
        <w:t xml:space="preserve">will transfer </w:t>
      </w:r>
      <w:r w:rsidR="00F50969" w:rsidRPr="00976A03">
        <w:rPr>
          <w:rFonts w:cstheme="minorHAnsi"/>
          <w:sz w:val="21"/>
          <w:szCs w:val="21"/>
        </w:rPr>
        <w:t>pallets</w:t>
      </w:r>
      <w:r w:rsidR="00C459E3" w:rsidRPr="00976A03">
        <w:rPr>
          <w:rFonts w:cstheme="minorHAnsi"/>
          <w:sz w:val="21"/>
          <w:szCs w:val="21"/>
        </w:rPr>
        <w:t xml:space="preserve"> to the </w:t>
      </w:r>
      <w:r w:rsidR="00935758" w:rsidRPr="00976A03">
        <w:rPr>
          <w:rFonts w:cstheme="minorHAnsi"/>
          <w:sz w:val="21"/>
          <w:szCs w:val="21"/>
        </w:rPr>
        <w:t>receiver</w:t>
      </w:r>
      <w:r w:rsidR="00C459E3" w:rsidRPr="00976A03">
        <w:rPr>
          <w:rFonts w:cstheme="minorHAnsi"/>
          <w:sz w:val="21"/>
          <w:szCs w:val="21"/>
        </w:rPr>
        <w:t xml:space="preserve"> applying the relevant delay day rule</w:t>
      </w:r>
      <w:r w:rsidR="00935758" w:rsidRPr="00976A03">
        <w:rPr>
          <w:rFonts w:cstheme="minorHAnsi"/>
          <w:sz w:val="21"/>
          <w:szCs w:val="21"/>
        </w:rPr>
        <w:t>, if no rule applies the effective da</w:t>
      </w:r>
      <w:r w:rsidR="00054895" w:rsidRPr="00976A03">
        <w:rPr>
          <w:rFonts w:cstheme="minorHAnsi"/>
          <w:sz w:val="21"/>
          <w:szCs w:val="21"/>
        </w:rPr>
        <w:t>te</w:t>
      </w:r>
      <w:r w:rsidR="00935758" w:rsidRPr="00976A03">
        <w:rPr>
          <w:rFonts w:cstheme="minorHAnsi"/>
          <w:sz w:val="21"/>
          <w:szCs w:val="21"/>
        </w:rPr>
        <w:t xml:space="preserve"> will be the day of delivery.</w:t>
      </w:r>
      <w:r w:rsidR="00E962B5" w:rsidRPr="00976A03">
        <w:rPr>
          <w:rFonts w:cstheme="minorHAnsi"/>
          <w:sz w:val="21"/>
          <w:szCs w:val="21"/>
        </w:rPr>
        <w:t xml:space="preserve"> </w:t>
      </w:r>
    </w:p>
    <w:p w14:paraId="3BD0049D" w14:textId="29588CA9" w:rsidR="00CC543C" w:rsidRPr="00976A03" w:rsidRDefault="00E962B5" w:rsidP="00CC543C">
      <w:pPr>
        <w:spacing w:after="200" w:line="240" w:lineRule="auto"/>
        <w:ind w:left="-567" w:right="686"/>
        <w:jc w:val="both"/>
        <w:rPr>
          <w:rFonts w:cstheme="minorHAnsi"/>
          <w:b/>
          <w:bCs/>
          <w:sz w:val="21"/>
          <w:szCs w:val="21"/>
        </w:rPr>
      </w:pPr>
      <w:r w:rsidRPr="00976A03">
        <w:rPr>
          <w:rFonts w:cstheme="minorHAnsi"/>
          <w:sz w:val="21"/>
          <w:szCs w:val="21"/>
        </w:rPr>
        <w:t xml:space="preserve">The transfer will be raised for each </w:t>
      </w:r>
      <w:r w:rsidR="00EB0DDF" w:rsidRPr="00976A03">
        <w:rPr>
          <w:rFonts w:cstheme="minorHAnsi"/>
          <w:sz w:val="21"/>
          <w:szCs w:val="21"/>
        </w:rPr>
        <w:t>manifest onto our carrier or per purchase order</w:t>
      </w:r>
      <w:r w:rsidRPr="00976A03">
        <w:rPr>
          <w:rFonts w:cstheme="minorHAnsi"/>
          <w:sz w:val="21"/>
          <w:szCs w:val="21"/>
        </w:rPr>
        <w:t xml:space="preserve"> </w:t>
      </w:r>
      <w:r w:rsidR="00EB0DDF" w:rsidRPr="00976A03">
        <w:rPr>
          <w:rFonts w:cstheme="minorHAnsi"/>
          <w:sz w:val="21"/>
          <w:szCs w:val="21"/>
        </w:rPr>
        <w:t xml:space="preserve">to the end </w:t>
      </w:r>
      <w:r w:rsidR="000905F1" w:rsidRPr="00976A03">
        <w:rPr>
          <w:rFonts w:cstheme="minorHAnsi"/>
          <w:sz w:val="21"/>
          <w:szCs w:val="21"/>
        </w:rPr>
        <w:t>receiver the</w:t>
      </w:r>
      <w:r w:rsidRPr="00976A03">
        <w:rPr>
          <w:rFonts w:cstheme="minorHAnsi"/>
          <w:sz w:val="21"/>
          <w:szCs w:val="21"/>
        </w:rPr>
        <w:t xml:space="preserve"> reference being the </w:t>
      </w:r>
      <w:r w:rsidR="000905F1" w:rsidRPr="00976A03">
        <w:rPr>
          <w:rFonts w:cstheme="minorHAnsi"/>
          <w:sz w:val="21"/>
          <w:szCs w:val="21"/>
        </w:rPr>
        <w:t xml:space="preserve">manifest number for the carrier and the </w:t>
      </w:r>
      <w:r w:rsidRPr="00976A03">
        <w:rPr>
          <w:rFonts w:cstheme="minorHAnsi"/>
          <w:sz w:val="21"/>
          <w:szCs w:val="21"/>
        </w:rPr>
        <w:t>receivers Purchase Order number</w:t>
      </w:r>
      <w:r w:rsidR="000905F1" w:rsidRPr="00976A03">
        <w:rPr>
          <w:rFonts w:cstheme="minorHAnsi"/>
          <w:sz w:val="21"/>
          <w:szCs w:val="21"/>
        </w:rPr>
        <w:t xml:space="preserve"> if transferred to the end receiver</w:t>
      </w:r>
      <w:r w:rsidRPr="00976A03">
        <w:rPr>
          <w:rFonts w:cstheme="minorHAnsi"/>
          <w:sz w:val="21"/>
          <w:szCs w:val="21"/>
        </w:rPr>
        <w:t>.</w:t>
      </w:r>
    </w:p>
    <w:p w14:paraId="6E17DDA6" w14:textId="03FCEF91" w:rsidR="004D3974" w:rsidRDefault="004D3974" w:rsidP="00CC543C">
      <w:pPr>
        <w:spacing w:after="200" w:line="240" w:lineRule="auto"/>
        <w:ind w:left="-567" w:right="686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>Unsuccessful collection of Exchange Pallets</w:t>
      </w:r>
    </w:p>
    <w:p w14:paraId="4ECC498B" w14:textId="37B8D4B9" w:rsidR="004D3974" w:rsidRDefault="004D3974" w:rsidP="004D3974">
      <w:pPr>
        <w:spacing w:after="200" w:line="240" w:lineRule="auto"/>
        <w:ind w:left="-567" w:right="686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If the end receiver doesn’t have pallets on the time of delivery, please contact us within 3 working days. Detail the delivery docket, the end receivers name, address and the qty of pallets owed.</w:t>
      </w:r>
    </w:p>
    <w:p w14:paraId="2FD30AB3" w14:textId="1E20B77F" w:rsidR="004D3974" w:rsidRDefault="004D3974" w:rsidP="004D3974">
      <w:pPr>
        <w:spacing w:after="200" w:line="240" w:lineRule="auto"/>
        <w:ind w:left="-567" w:right="686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We will then contact the store and ensure on the following delivery pallets will be made available. </w:t>
      </w:r>
    </w:p>
    <w:p w14:paraId="7D19380C" w14:textId="0AE21311" w:rsidR="004D3974" w:rsidRDefault="004D3974" w:rsidP="004D3974">
      <w:pPr>
        <w:spacing w:after="200" w:line="240" w:lineRule="auto"/>
        <w:ind w:left="-567" w:right="686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 xml:space="preserve">If you reject our transfers without our prior knowledge and </w:t>
      </w:r>
      <w:r w:rsidR="00744967">
        <w:rPr>
          <w:rFonts w:cstheme="minorHAnsi"/>
          <w:sz w:val="21"/>
          <w:szCs w:val="21"/>
        </w:rPr>
        <w:t xml:space="preserve">our </w:t>
      </w:r>
      <w:r>
        <w:rPr>
          <w:rFonts w:cstheme="minorHAnsi"/>
          <w:sz w:val="21"/>
          <w:szCs w:val="21"/>
        </w:rPr>
        <w:t>agreement the pallet costs in daily hire and compensation maybe deducted from your payment for performing deliver</w:t>
      </w:r>
      <w:r w:rsidR="00744967">
        <w:rPr>
          <w:rFonts w:cstheme="minorHAnsi"/>
          <w:sz w:val="21"/>
          <w:szCs w:val="21"/>
        </w:rPr>
        <w:t>ies for Adventure Operation.</w:t>
      </w:r>
    </w:p>
    <w:p w14:paraId="3AE9814C" w14:textId="465D65E8" w:rsidR="00CC543C" w:rsidRPr="00976A03" w:rsidRDefault="004D3974" w:rsidP="00CC543C">
      <w:pPr>
        <w:spacing w:after="200" w:line="240" w:lineRule="auto"/>
        <w:ind w:left="-567" w:right="686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 xml:space="preserve"> </w:t>
      </w:r>
      <w:r w:rsidR="00137975" w:rsidRPr="00976A03">
        <w:rPr>
          <w:rFonts w:cstheme="minorHAnsi"/>
          <w:b/>
          <w:bCs/>
          <w:sz w:val="21"/>
          <w:szCs w:val="21"/>
        </w:rPr>
        <w:t>Process</w:t>
      </w:r>
      <w:r w:rsidR="00F635B6" w:rsidRPr="00976A03">
        <w:rPr>
          <w:rFonts w:cstheme="minorHAnsi"/>
          <w:b/>
          <w:bCs/>
          <w:sz w:val="21"/>
          <w:szCs w:val="21"/>
        </w:rPr>
        <w:t xml:space="preserve">ing of transfers &amp; dispute resolution </w:t>
      </w:r>
    </w:p>
    <w:p w14:paraId="58FECDEB" w14:textId="7BCE8240" w:rsidR="00483114" w:rsidRPr="00976A03" w:rsidRDefault="00FD207C" w:rsidP="00CC543C">
      <w:pPr>
        <w:spacing w:after="200" w:line="240" w:lineRule="auto"/>
        <w:ind w:left="-567" w:right="686"/>
        <w:jc w:val="both"/>
        <w:rPr>
          <w:rFonts w:cstheme="minorHAnsi"/>
          <w:b/>
          <w:bCs/>
          <w:sz w:val="21"/>
          <w:szCs w:val="21"/>
        </w:rPr>
      </w:pPr>
      <w:r w:rsidRPr="00976A03">
        <w:rPr>
          <w:rFonts w:cstheme="minorHAnsi"/>
          <w:sz w:val="21"/>
          <w:szCs w:val="21"/>
        </w:rPr>
        <w:t>Pooled Equipment Suppliers</w:t>
      </w:r>
      <w:r w:rsidR="00F50969" w:rsidRPr="00976A03">
        <w:rPr>
          <w:rFonts w:cstheme="minorHAnsi"/>
          <w:sz w:val="21"/>
          <w:szCs w:val="21"/>
        </w:rPr>
        <w:t xml:space="preserve"> must receive the transfer </w:t>
      </w:r>
      <w:r w:rsidR="002722EB" w:rsidRPr="00976A03">
        <w:rPr>
          <w:rFonts w:cstheme="minorHAnsi"/>
          <w:sz w:val="21"/>
          <w:szCs w:val="21"/>
        </w:rPr>
        <w:t xml:space="preserve">within 90 days from the movement date to be accepted. </w:t>
      </w:r>
    </w:p>
    <w:p w14:paraId="54AF623F" w14:textId="63632121" w:rsidR="00483114" w:rsidRPr="00976A03" w:rsidRDefault="00935758" w:rsidP="00CC543C">
      <w:pPr>
        <w:spacing w:after="200" w:line="240" w:lineRule="auto"/>
        <w:ind w:left="-567" w:right="686"/>
        <w:jc w:val="both"/>
        <w:rPr>
          <w:rFonts w:cstheme="minorHAnsi"/>
          <w:sz w:val="21"/>
          <w:szCs w:val="21"/>
        </w:rPr>
      </w:pPr>
      <w:r w:rsidRPr="00976A03">
        <w:rPr>
          <w:rFonts w:cstheme="minorHAnsi"/>
          <w:sz w:val="21"/>
          <w:szCs w:val="21"/>
        </w:rPr>
        <w:t xml:space="preserve">Any transfers </w:t>
      </w:r>
      <w:r w:rsidR="00F635B6" w:rsidRPr="00976A03">
        <w:rPr>
          <w:rFonts w:cstheme="minorHAnsi"/>
          <w:sz w:val="21"/>
          <w:szCs w:val="21"/>
        </w:rPr>
        <w:t>processed</w:t>
      </w:r>
      <w:r w:rsidRPr="00976A03">
        <w:rPr>
          <w:rFonts w:cstheme="minorHAnsi"/>
          <w:sz w:val="21"/>
          <w:szCs w:val="21"/>
        </w:rPr>
        <w:t xml:space="preserve"> between 9</w:t>
      </w:r>
      <w:r w:rsidR="00F635B6" w:rsidRPr="00976A03">
        <w:rPr>
          <w:rFonts w:cstheme="minorHAnsi"/>
          <w:sz w:val="21"/>
          <w:szCs w:val="21"/>
        </w:rPr>
        <w:t>1</w:t>
      </w:r>
      <w:r w:rsidRPr="00976A03">
        <w:rPr>
          <w:rFonts w:cstheme="minorHAnsi"/>
          <w:sz w:val="21"/>
          <w:szCs w:val="21"/>
        </w:rPr>
        <w:t xml:space="preserve"> – 180</w:t>
      </w:r>
      <w:r w:rsidR="002722EB" w:rsidRPr="00976A03">
        <w:rPr>
          <w:rFonts w:cstheme="minorHAnsi"/>
          <w:sz w:val="21"/>
          <w:szCs w:val="21"/>
        </w:rPr>
        <w:t xml:space="preserve"> days</w:t>
      </w:r>
      <w:r w:rsidRPr="00976A03">
        <w:rPr>
          <w:rFonts w:cstheme="minorHAnsi"/>
          <w:sz w:val="21"/>
          <w:szCs w:val="21"/>
        </w:rPr>
        <w:t xml:space="preserve"> will be corrected </w:t>
      </w:r>
      <w:r w:rsidR="00F635B6" w:rsidRPr="00976A03">
        <w:rPr>
          <w:rFonts w:cstheme="minorHAnsi"/>
          <w:sz w:val="21"/>
          <w:szCs w:val="21"/>
        </w:rPr>
        <w:t xml:space="preserve">with the </w:t>
      </w:r>
      <w:r w:rsidRPr="00976A03">
        <w:rPr>
          <w:rFonts w:cstheme="minorHAnsi"/>
          <w:sz w:val="21"/>
          <w:szCs w:val="21"/>
        </w:rPr>
        <w:t>new movement date being</w:t>
      </w:r>
      <w:r w:rsidR="00F635B6" w:rsidRPr="00976A03">
        <w:rPr>
          <w:rFonts w:cstheme="minorHAnsi"/>
          <w:sz w:val="21"/>
          <w:szCs w:val="21"/>
        </w:rPr>
        <w:t xml:space="preserve"> the </w:t>
      </w:r>
      <w:r w:rsidRPr="00976A03">
        <w:rPr>
          <w:rFonts w:cstheme="minorHAnsi"/>
          <w:sz w:val="21"/>
          <w:szCs w:val="21"/>
        </w:rPr>
        <w:t>invoice date</w:t>
      </w:r>
      <w:r w:rsidR="00F635B6" w:rsidRPr="00976A03">
        <w:rPr>
          <w:rFonts w:cstheme="minorHAnsi"/>
          <w:sz w:val="21"/>
          <w:szCs w:val="21"/>
        </w:rPr>
        <w:t xml:space="preserve"> that the movement appeared on.</w:t>
      </w:r>
    </w:p>
    <w:p w14:paraId="10943C10" w14:textId="412C234B" w:rsidR="00F635B6" w:rsidRPr="00976A03" w:rsidRDefault="00483114" w:rsidP="00CC543C">
      <w:pPr>
        <w:spacing w:after="200" w:line="240" w:lineRule="auto"/>
        <w:ind w:left="-567" w:right="686"/>
        <w:jc w:val="both"/>
        <w:rPr>
          <w:rFonts w:cstheme="minorHAnsi"/>
          <w:sz w:val="21"/>
          <w:szCs w:val="21"/>
        </w:rPr>
      </w:pPr>
      <w:r w:rsidRPr="00976A03">
        <w:rPr>
          <w:rFonts w:cstheme="minorHAnsi"/>
          <w:sz w:val="21"/>
          <w:szCs w:val="21"/>
        </w:rPr>
        <w:t>Requests for documentation supporting the transfers must be emailed within 5 working days from the date of request, if not the transfer will be rejected.</w:t>
      </w:r>
    </w:p>
    <w:p w14:paraId="683A157A" w14:textId="70C4D8D1" w:rsidR="00F635B6" w:rsidRPr="00976A03" w:rsidRDefault="00F635B6" w:rsidP="00CC543C">
      <w:pPr>
        <w:spacing w:after="200" w:line="240" w:lineRule="auto"/>
        <w:ind w:left="-567" w:right="686"/>
        <w:jc w:val="both"/>
        <w:rPr>
          <w:rFonts w:cstheme="minorHAnsi"/>
          <w:sz w:val="21"/>
          <w:szCs w:val="21"/>
        </w:rPr>
      </w:pPr>
      <w:r w:rsidRPr="00976A03">
        <w:rPr>
          <w:rFonts w:cstheme="minorHAnsi"/>
          <w:sz w:val="21"/>
          <w:szCs w:val="21"/>
        </w:rPr>
        <w:t xml:space="preserve">All queries for unprocessed, </w:t>
      </w:r>
      <w:r w:rsidR="002722EB" w:rsidRPr="00976A03">
        <w:rPr>
          <w:rFonts w:cstheme="minorHAnsi"/>
          <w:sz w:val="21"/>
          <w:szCs w:val="21"/>
        </w:rPr>
        <w:t>rejected,</w:t>
      </w:r>
      <w:r w:rsidRPr="00976A03">
        <w:rPr>
          <w:rFonts w:cstheme="minorHAnsi"/>
          <w:sz w:val="21"/>
          <w:szCs w:val="21"/>
        </w:rPr>
        <w:t xml:space="preserve"> or corrected transfers must be made via email </w:t>
      </w:r>
      <w:r w:rsidR="002722EB" w:rsidRPr="00976A03">
        <w:rPr>
          <w:rFonts w:cstheme="minorHAnsi"/>
          <w:sz w:val="21"/>
          <w:szCs w:val="21"/>
        </w:rPr>
        <w:t xml:space="preserve">quoting </w:t>
      </w:r>
      <w:r w:rsidRPr="00976A03">
        <w:rPr>
          <w:rFonts w:cstheme="minorHAnsi"/>
          <w:sz w:val="21"/>
          <w:szCs w:val="21"/>
        </w:rPr>
        <w:t>and includ</w:t>
      </w:r>
      <w:r w:rsidR="002722EB" w:rsidRPr="00976A03">
        <w:rPr>
          <w:rFonts w:cstheme="minorHAnsi"/>
          <w:sz w:val="21"/>
          <w:szCs w:val="21"/>
        </w:rPr>
        <w:t>ing</w:t>
      </w:r>
      <w:r w:rsidRPr="00976A03">
        <w:rPr>
          <w:rFonts w:cstheme="minorHAnsi"/>
          <w:sz w:val="21"/>
          <w:szCs w:val="21"/>
        </w:rPr>
        <w:t xml:space="preserve"> the original transfer docket, along with all documentation to support the claim.</w:t>
      </w:r>
    </w:p>
    <w:p w14:paraId="3C5648EB" w14:textId="37382F6B" w:rsidR="00F635B6" w:rsidRPr="00976A03" w:rsidRDefault="00F635B6" w:rsidP="00CC543C">
      <w:pPr>
        <w:spacing w:after="200" w:line="240" w:lineRule="auto"/>
        <w:ind w:left="-567" w:right="686"/>
        <w:jc w:val="both"/>
        <w:rPr>
          <w:rFonts w:cstheme="minorHAnsi"/>
          <w:sz w:val="21"/>
          <w:szCs w:val="21"/>
        </w:rPr>
      </w:pPr>
      <w:r w:rsidRPr="00976A03">
        <w:rPr>
          <w:rFonts w:cstheme="minorHAnsi"/>
          <w:sz w:val="21"/>
          <w:szCs w:val="21"/>
        </w:rPr>
        <w:t xml:space="preserve">If </w:t>
      </w:r>
      <w:r w:rsidR="00483114" w:rsidRPr="00976A03">
        <w:rPr>
          <w:rFonts w:cstheme="minorHAnsi"/>
          <w:sz w:val="21"/>
          <w:szCs w:val="21"/>
        </w:rPr>
        <w:t>the query</w:t>
      </w:r>
      <w:r w:rsidRPr="00976A03">
        <w:rPr>
          <w:rFonts w:cstheme="minorHAnsi"/>
          <w:sz w:val="21"/>
          <w:szCs w:val="21"/>
        </w:rPr>
        <w:t xml:space="preserve"> is successful, the following will </w:t>
      </w:r>
      <w:proofErr w:type="gramStart"/>
      <w:r w:rsidRPr="00976A03">
        <w:rPr>
          <w:rFonts w:cstheme="minorHAnsi"/>
          <w:sz w:val="21"/>
          <w:szCs w:val="21"/>
        </w:rPr>
        <w:t>apply</w:t>
      </w:r>
      <w:r w:rsidR="00BE0F9A" w:rsidRPr="00976A03">
        <w:rPr>
          <w:rFonts w:cstheme="minorHAnsi"/>
          <w:sz w:val="21"/>
          <w:szCs w:val="21"/>
        </w:rPr>
        <w:t>;</w:t>
      </w:r>
      <w:proofErr w:type="gramEnd"/>
    </w:p>
    <w:p w14:paraId="1F9962F5" w14:textId="0F761665" w:rsidR="00F635B6" w:rsidRPr="00976A03" w:rsidRDefault="00F635B6" w:rsidP="00C967AC">
      <w:pPr>
        <w:spacing w:after="200" w:line="240" w:lineRule="auto"/>
        <w:ind w:right="686"/>
        <w:jc w:val="both"/>
        <w:rPr>
          <w:rFonts w:cstheme="minorHAnsi"/>
          <w:sz w:val="21"/>
          <w:szCs w:val="21"/>
        </w:rPr>
      </w:pPr>
      <w:r w:rsidRPr="00976A03">
        <w:rPr>
          <w:rFonts w:cstheme="minorHAnsi"/>
          <w:sz w:val="21"/>
          <w:szCs w:val="21"/>
        </w:rPr>
        <w:t>1 – 90 days from movement date, processed at the original effective date.</w:t>
      </w:r>
    </w:p>
    <w:p w14:paraId="657FD8D7" w14:textId="77777777" w:rsidR="00D41E17" w:rsidRPr="00976A03" w:rsidRDefault="00F635B6" w:rsidP="00D41E17">
      <w:pPr>
        <w:spacing w:after="200" w:line="240" w:lineRule="auto"/>
        <w:ind w:right="686"/>
        <w:jc w:val="both"/>
        <w:rPr>
          <w:rFonts w:cstheme="minorHAnsi"/>
          <w:sz w:val="21"/>
          <w:szCs w:val="21"/>
        </w:rPr>
      </w:pPr>
      <w:r w:rsidRPr="00976A03">
        <w:rPr>
          <w:rFonts w:cstheme="minorHAnsi"/>
          <w:sz w:val="21"/>
          <w:szCs w:val="21"/>
        </w:rPr>
        <w:t xml:space="preserve">91 – 180 days from movement date, processed at the enquiry date. </w:t>
      </w:r>
    </w:p>
    <w:p w14:paraId="617C23B8" w14:textId="5FAC0670" w:rsidR="007D605E" w:rsidRPr="00976A03" w:rsidRDefault="007D605E" w:rsidP="00D41E17">
      <w:pPr>
        <w:spacing w:after="200" w:line="240" w:lineRule="auto"/>
        <w:ind w:left="-567" w:right="686"/>
        <w:jc w:val="both"/>
        <w:rPr>
          <w:rFonts w:cstheme="minorHAnsi"/>
          <w:sz w:val="21"/>
          <w:szCs w:val="21"/>
        </w:rPr>
      </w:pPr>
      <w:r w:rsidRPr="00976A03">
        <w:rPr>
          <w:rFonts w:cstheme="minorHAnsi"/>
          <w:sz w:val="21"/>
          <w:szCs w:val="21"/>
        </w:rPr>
        <w:t xml:space="preserve">Industry standards </w:t>
      </w:r>
      <w:r w:rsidR="00910EA4" w:rsidRPr="00976A03">
        <w:rPr>
          <w:rFonts w:cstheme="minorHAnsi"/>
          <w:sz w:val="21"/>
          <w:szCs w:val="21"/>
        </w:rPr>
        <w:t>state</w:t>
      </w:r>
      <w:r w:rsidRPr="00976A03">
        <w:rPr>
          <w:rFonts w:cstheme="minorHAnsi"/>
          <w:sz w:val="21"/>
          <w:szCs w:val="21"/>
        </w:rPr>
        <w:t xml:space="preserve"> </w:t>
      </w:r>
      <w:r w:rsidR="00AD7817" w:rsidRPr="00976A03">
        <w:rPr>
          <w:rFonts w:cstheme="minorHAnsi"/>
          <w:sz w:val="21"/>
          <w:szCs w:val="21"/>
        </w:rPr>
        <w:t xml:space="preserve">that </w:t>
      </w:r>
      <w:r w:rsidR="00C967AC" w:rsidRPr="00976A03">
        <w:rPr>
          <w:rFonts w:cstheme="minorHAnsi"/>
          <w:sz w:val="21"/>
          <w:szCs w:val="21"/>
        </w:rPr>
        <w:t>claims</w:t>
      </w:r>
      <w:r w:rsidRPr="00976A03">
        <w:rPr>
          <w:rFonts w:cstheme="minorHAnsi"/>
          <w:sz w:val="21"/>
          <w:szCs w:val="21"/>
        </w:rPr>
        <w:t xml:space="preserve"> </w:t>
      </w:r>
      <w:r w:rsidR="00AD7817" w:rsidRPr="00976A03">
        <w:rPr>
          <w:rFonts w:cstheme="minorHAnsi"/>
          <w:sz w:val="21"/>
          <w:szCs w:val="21"/>
        </w:rPr>
        <w:t>over</w:t>
      </w:r>
      <w:r w:rsidRPr="00976A03">
        <w:rPr>
          <w:rFonts w:cstheme="minorHAnsi"/>
          <w:sz w:val="21"/>
          <w:szCs w:val="21"/>
        </w:rPr>
        <w:t xml:space="preserve"> 180 days will not be investigated, however we </w:t>
      </w:r>
      <w:r w:rsidR="00C967AC" w:rsidRPr="00976A03">
        <w:rPr>
          <w:rFonts w:cstheme="minorHAnsi"/>
          <w:sz w:val="21"/>
          <w:szCs w:val="21"/>
        </w:rPr>
        <w:t xml:space="preserve">believe that if </w:t>
      </w:r>
      <w:r w:rsidR="00054895" w:rsidRPr="00976A03">
        <w:rPr>
          <w:rFonts w:cstheme="minorHAnsi"/>
          <w:sz w:val="21"/>
          <w:szCs w:val="21"/>
        </w:rPr>
        <w:t>authorised equipment</w:t>
      </w:r>
      <w:r w:rsidR="00C967AC" w:rsidRPr="00976A03">
        <w:rPr>
          <w:rFonts w:cstheme="minorHAnsi"/>
          <w:sz w:val="21"/>
          <w:szCs w:val="21"/>
        </w:rPr>
        <w:t xml:space="preserve"> w</w:t>
      </w:r>
      <w:r w:rsidR="00054895" w:rsidRPr="00976A03">
        <w:rPr>
          <w:rFonts w:cstheme="minorHAnsi"/>
          <w:sz w:val="21"/>
          <w:szCs w:val="21"/>
        </w:rPr>
        <w:t>as</w:t>
      </w:r>
      <w:r w:rsidR="00C967AC" w:rsidRPr="00976A03">
        <w:rPr>
          <w:rFonts w:cstheme="minorHAnsi"/>
          <w:sz w:val="21"/>
          <w:szCs w:val="21"/>
        </w:rPr>
        <w:t xml:space="preserve"> received (and appropriate supporting documentation </w:t>
      </w:r>
      <w:r w:rsidR="00E61541" w:rsidRPr="00976A03">
        <w:rPr>
          <w:rFonts w:cstheme="minorHAnsi"/>
          <w:sz w:val="21"/>
          <w:szCs w:val="21"/>
        </w:rPr>
        <w:t>is</w:t>
      </w:r>
      <w:r w:rsidR="00C967AC" w:rsidRPr="00976A03">
        <w:rPr>
          <w:rFonts w:cstheme="minorHAnsi"/>
          <w:sz w:val="21"/>
          <w:szCs w:val="21"/>
        </w:rPr>
        <w:t xml:space="preserve"> provided and verified), </w:t>
      </w:r>
      <w:r w:rsidR="00054895" w:rsidRPr="00976A03">
        <w:rPr>
          <w:rFonts w:cstheme="minorHAnsi"/>
          <w:sz w:val="21"/>
          <w:szCs w:val="21"/>
        </w:rPr>
        <w:t>it</w:t>
      </w:r>
      <w:r w:rsidR="00C967AC" w:rsidRPr="00976A03">
        <w:rPr>
          <w:rFonts w:cstheme="minorHAnsi"/>
          <w:sz w:val="21"/>
          <w:szCs w:val="21"/>
        </w:rPr>
        <w:t xml:space="preserve"> should be </w:t>
      </w:r>
      <w:r w:rsidR="00C51780" w:rsidRPr="00976A03">
        <w:rPr>
          <w:rFonts w:cstheme="minorHAnsi"/>
          <w:sz w:val="21"/>
          <w:szCs w:val="21"/>
        </w:rPr>
        <w:t>accepted</w:t>
      </w:r>
      <w:r w:rsidR="00C967AC" w:rsidRPr="00976A03">
        <w:rPr>
          <w:rFonts w:cstheme="minorHAnsi"/>
          <w:sz w:val="21"/>
          <w:szCs w:val="21"/>
        </w:rPr>
        <w:t xml:space="preserve">.  Therefore, aged claims will be </w:t>
      </w:r>
      <w:r w:rsidRPr="00976A03">
        <w:rPr>
          <w:rFonts w:cstheme="minorHAnsi"/>
          <w:sz w:val="21"/>
          <w:szCs w:val="21"/>
        </w:rPr>
        <w:t>review</w:t>
      </w:r>
      <w:r w:rsidR="00C967AC" w:rsidRPr="00976A03">
        <w:rPr>
          <w:rFonts w:cstheme="minorHAnsi"/>
          <w:sz w:val="21"/>
          <w:szCs w:val="21"/>
        </w:rPr>
        <w:t>ed</w:t>
      </w:r>
      <w:r w:rsidRPr="00976A03">
        <w:rPr>
          <w:rFonts w:cstheme="minorHAnsi"/>
          <w:sz w:val="21"/>
          <w:szCs w:val="21"/>
        </w:rPr>
        <w:t xml:space="preserve"> on a </w:t>
      </w:r>
      <w:r w:rsidR="00E962B5" w:rsidRPr="00976A03">
        <w:rPr>
          <w:rFonts w:cstheme="minorHAnsi"/>
          <w:sz w:val="21"/>
          <w:szCs w:val="21"/>
        </w:rPr>
        <w:t>case-by-case</w:t>
      </w:r>
      <w:r w:rsidRPr="00976A03">
        <w:rPr>
          <w:rFonts w:cstheme="minorHAnsi"/>
          <w:sz w:val="21"/>
          <w:szCs w:val="21"/>
        </w:rPr>
        <w:t xml:space="preserve"> basis</w:t>
      </w:r>
      <w:r w:rsidR="00C967AC" w:rsidRPr="00976A03">
        <w:rPr>
          <w:rFonts w:cstheme="minorHAnsi"/>
          <w:sz w:val="21"/>
          <w:szCs w:val="21"/>
        </w:rPr>
        <w:t xml:space="preserve"> at the discretion of Senior Management</w:t>
      </w:r>
      <w:r w:rsidRPr="00976A03">
        <w:rPr>
          <w:rFonts w:cstheme="minorHAnsi"/>
          <w:sz w:val="21"/>
          <w:szCs w:val="21"/>
        </w:rPr>
        <w:t>.</w:t>
      </w:r>
      <w:r w:rsidR="00E962B5" w:rsidRPr="00976A03">
        <w:rPr>
          <w:rFonts w:cstheme="minorHAnsi"/>
          <w:sz w:val="21"/>
          <w:szCs w:val="21"/>
        </w:rPr>
        <w:t xml:space="preserve"> Depending on the age administration charges </w:t>
      </w:r>
      <w:proofErr w:type="spellStart"/>
      <w:r w:rsidR="00E962B5" w:rsidRPr="00976A03">
        <w:rPr>
          <w:rFonts w:cstheme="minorHAnsi"/>
          <w:sz w:val="21"/>
          <w:szCs w:val="21"/>
        </w:rPr>
        <w:t>my</w:t>
      </w:r>
      <w:proofErr w:type="spellEnd"/>
      <w:r w:rsidR="00E962B5" w:rsidRPr="00976A03">
        <w:rPr>
          <w:rFonts w:cstheme="minorHAnsi"/>
          <w:sz w:val="21"/>
          <w:szCs w:val="21"/>
        </w:rPr>
        <w:t xml:space="preserve"> apply. </w:t>
      </w:r>
    </w:p>
    <w:p w14:paraId="2399EE25" w14:textId="77777777" w:rsidR="00C967AC" w:rsidRPr="00976A03" w:rsidRDefault="00C967AC" w:rsidP="00BE0F9A">
      <w:pPr>
        <w:spacing w:after="200" w:line="240" w:lineRule="auto"/>
        <w:ind w:right="686"/>
        <w:jc w:val="both"/>
        <w:rPr>
          <w:rFonts w:cstheme="minorHAnsi"/>
          <w:sz w:val="21"/>
          <w:szCs w:val="21"/>
        </w:rPr>
      </w:pPr>
    </w:p>
    <w:sectPr w:rsidR="00C967AC" w:rsidRPr="00976A03" w:rsidSect="001C04C3">
      <w:footerReference w:type="default" r:id="rId8"/>
      <w:pgSz w:w="11906" w:h="16838" w:code="9"/>
      <w:pgMar w:top="0" w:right="849" w:bottom="567" w:left="1440" w:header="11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C7399" w14:textId="77777777" w:rsidR="00DC49D8" w:rsidRDefault="00DC49D8" w:rsidP="00F80CD6">
      <w:pPr>
        <w:spacing w:after="0" w:line="240" w:lineRule="auto"/>
      </w:pPr>
      <w:r>
        <w:separator/>
      </w:r>
    </w:p>
  </w:endnote>
  <w:endnote w:type="continuationSeparator" w:id="0">
    <w:p w14:paraId="249D77A5" w14:textId="77777777" w:rsidR="00DC49D8" w:rsidRDefault="00DC49D8" w:rsidP="00F8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983432"/>
      <w:docPartObj>
        <w:docPartGallery w:val="Page Numbers (Bottom of Page)"/>
        <w:docPartUnique/>
      </w:docPartObj>
    </w:sdtPr>
    <w:sdtContent>
      <w:sdt>
        <w:sdtPr>
          <w:id w:val="245392157"/>
          <w:docPartObj>
            <w:docPartGallery w:val="Page Numbers (Top of Page)"/>
            <w:docPartUnique/>
          </w:docPartObj>
        </w:sdtPr>
        <w:sdtContent>
          <w:p w14:paraId="5F5FF632" w14:textId="25E07969" w:rsidR="00CA2A7E" w:rsidRDefault="00CA2A7E" w:rsidP="009578BF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411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411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2847C2">
              <w:rPr>
                <w:noProof/>
              </w:rPr>
              <w:drawing>
                <wp:inline distT="0" distB="0" distL="0" distR="0" wp14:anchorId="7CB0D246" wp14:editId="267FC7BA">
                  <wp:extent cx="1357521" cy="3778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nLine Tracking logo-01.png"/>
                          <pic:cNvPicPr/>
                        </pic:nvPicPr>
                        <pic:blipFill rotWithShape="1">
                          <a:blip r:embed="rId1">
                            <a:alphaModFix am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20" b="17008"/>
                          <a:stretch/>
                        </pic:blipFill>
                        <pic:spPr bwMode="auto">
                          <a:xfrm>
                            <a:off x="0" y="0"/>
                            <a:ext cx="1425126" cy="396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F74BDF1" w14:textId="77777777" w:rsidR="00CA2A7E" w:rsidRDefault="00000000">
            <w:pPr>
              <w:pStyle w:val="Footer"/>
              <w:jc w:val="right"/>
            </w:pPr>
          </w:p>
        </w:sdtContent>
      </w:sdt>
    </w:sdtContent>
  </w:sdt>
  <w:p w14:paraId="3CA7C854" w14:textId="7B9CA0F1" w:rsidR="00CA2A7E" w:rsidRDefault="00CA2A7E">
    <w:pPr>
      <w:pStyle w:val="Footer"/>
      <w:jc w:val="right"/>
    </w:pPr>
  </w:p>
  <w:p w14:paraId="0BBD0913" w14:textId="519F7EDC" w:rsidR="00CA2A7E" w:rsidRPr="00267BE4" w:rsidRDefault="00445D70" w:rsidP="00DF7D58">
    <w:pPr>
      <w:pStyle w:val="Footer"/>
      <w:ind w:left="-993"/>
      <w:rPr>
        <w:sz w:val="18"/>
      </w:rPr>
    </w:pPr>
    <w:r>
      <w:rPr>
        <w:sz w:val="18"/>
      </w:rPr>
      <w:tab/>
      <w:t xml:space="preserve">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0B03F" w14:textId="77777777" w:rsidR="00DC49D8" w:rsidRDefault="00DC49D8" w:rsidP="00F80CD6">
      <w:pPr>
        <w:spacing w:after="0" w:line="240" w:lineRule="auto"/>
      </w:pPr>
      <w:r>
        <w:separator/>
      </w:r>
    </w:p>
  </w:footnote>
  <w:footnote w:type="continuationSeparator" w:id="0">
    <w:p w14:paraId="0BFDEA90" w14:textId="77777777" w:rsidR="00DC49D8" w:rsidRDefault="00DC49D8" w:rsidP="00F8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06FF"/>
    <w:multiLevelType w:val="hybridMultilevel"/>
    <w:tmpl w:val="FEBC2348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B3F74CE"/>
    <w:multiLevelType w:val="hybridMultilevel"/>
    <w:tmpl w:val="AC46AF56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8685BE4"/>
    <w:multiLevelType w:val="hybridMultilevel"/>
    <w:tmpl w:val="FB3CC0A4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3EE6F39"/>
    <w:multiLevelType w:val="hybridMultilevel"/>
    <w:tmpl w:val="8A02FEE0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D011D33"/>
    <w:multiLevelType w:val="hybridMultilevel"/>
    <w:tmpl w:val="B1407862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47D033F7"/>
    <w:multiLevelType w:val="hybridMultilevel"/>
    <w:tmpl w:val="73B69DE2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9726B07"/>
    <w:multiLevelType w:val="hybridMultilevel"/>
    <w:tmpl w:val="F2FA2A4A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57E65C93"/>
    <w:multiLevelType w:val="hybridMultilevel"/>
    <w:tmpl w:val="5F7CA440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62367D0D"/>
    <w:multiLevelType w:val="hybridMultilevel"/>
    <w:tmpl w:val="3A7E863A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64277182"/>
    <w:multiLevelType w:val="hybridMultilevel"/>
    <w:tmpl w:val="222C5ABE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417556564">
    <w:abstractNumId w:val="3"/>
  </w:num>
  <w:num w:numId="2" w16cid:durableId="1072434214">
    <w:abstractNumId w:val="4"/>
  </w:num>
  <w:num w:numId="3" w16cid:durableId="511989993">
    <w:abstractNumId w:val="7"/>
  </w:num>
  <w:num w:numId="4" w16cid:durableId="1157110187">
    <w:abstractNumId w:val="8"/>
  </w:num>
  <w:num w:numId="5" w16cid:durableId="1119298537">
    <w:abstractNumId w:val="5"/>
  </w:num>
  <w:num w:numId="6" w16cid:durableId="336616878">
    <w:abstractNumId w:val="9"/>
  </w:num>
  <w:num w:numId="7" w16cid:durableId="1146321034">
    <w:abstractNumId w:val="0"/>
  </w:num>
  <w:num w:numId="8" w16cid:durableId="1066148143">
    <w:abstractNumId w:val="1"/>
  </w:num>
  <w:num w:numId="9" w16cid:durableId="1294671318">
    <w:abstractNumId w:val="2"/>
  </w:num>
  <w:num w:numId="10" w16cid:durableId="21085021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AF0"/>
    <w:rsid w:val="000010A8"/>
    <w:rsid w:val="00012EDB"/>
    <w:rsid w:val="0004294F"/>
    <w:rsid w:val="00042A23"/>
    <w:rsid w:val="00054895"/>
    <w:rsid w:val="00056D93"/>
    <w:rsid w:val="00073383"/>
    <w:rsid w:val="00074825"/>
    <w:rsid w:val="000905F1"/>
    <w:rsid w:val="00097B67"/>
    <w:rsid w:val="000A712F"/>
    <w:rsid w:val="000B16D5"/>
    <w:rsid w:val="000C2A6B"/>
    <w:rsid w:val="000E213A"/>
    <w:rsid w:val="000E700B"/>
    <w:rsid w:val="000F2561"/>
    <w:rsid w:val="000F60E1"/>
    <w:rsid w:val="00102CEF"/>
    <w:rsid w:val="001348B1"/>
    <w:rsid w:val="00137975"/>
    <w:rsid w:val="001470BC"/>
    <w:rsid w:val="00164A18"/>
    <w:rsid w:val="0016776B"/>
    <w:rsid w:val="00182101"/>
    <w:rsid w:val="001A1F20"/>
    <w:rsid w:val="001C04C3"/>
    <w:rsid w:val="001C3707"/>
    <w:rsid w:val="001D0452"/>
    <w:rsid w:val="001E2E46"/>
    <w:rsid w:val="001F7E10"/>
    <w:rsid w:val="002001B1"/>
    <w:rsid w:val="00215F93"/>
    <w:rsid w:val="002164BF"/>
    <w:rsid w:val="00256ABC"/>
    <w:rsid w:val="00267BE4"/>
    <w:rsid w:val="002722EB"/>
    <w:rsid w:val="00280F02"/>
    <w:rsid w:val="002847C2"/>
    <w:rsid w:val="002938B5"/>
    <w:rsid w:val="00293928"/>
    <w:rsid w:val="002943DB"/>
    <w:rsid w:val="002A5DD0"/>
    <w:rsid w:val="002B234A"/>
    <w:rsid w:val="002C507B"/>
    <w:rsid w:val="002D45A7"/>
    <w:rsid w:val="002E3580"/>
    <w:rsid w:val="002E4C0A"/>
    <w:rsid w:val="003109A4"/>
    <w:rsid w:val="003323EC"/>
    <w:rsid w:val="00355149"/>
    <w:rsid w:val="00363F64"/>
    <w:rsid w:val="00372962"/>
    <w:rsid w:val="003778CD"/>
    <w:rsid w:val="00386151"/>
    <w:rsid w:val="00387DC4"/>
    <w:rsid w:val="003D1E6E"/>
    <w:rsid w:val="003F6849"/>
    <w:rsid w:val="00411EFE"/>
    <w:rsid w:val="00416DE5"/>
    <w:rsid w:val="0044278E"/>
    <w:rsid w:val="00445095"/>
    <w:rsid w:val="00445D70"/>
    <w:rsid w:val="00453DD6"/>
    <w:rsid w:val="00471D81"/>
    <w:rsid w:val="00483114"/>
    <w:rsid w:val="004862E8"/>
    <w:rsid w:val="0049564C"/>
    <w:rsid w:val="004A42D6"/>
    <w:rsid w:val="004B3744"/>
    <w:rsid w:val="004D3974"/>
    <w:rsid w:val="004D72E3"/>
    <w:rsid w:val="004D7D55"/>
    <w:rsid w:val="004F2DB9"/>
    <w:rsid w:val="0051099B"/>
    <w:rsid w:val="00523EF4"/>
    <w:rsid w:val="00543C31"/>
    <w:rsid w:val="00563E5B"/>
    <w:rsid w:val="00565F88"/>
    <w:rsid w:val="00571D4F"/>
    <w:rsid w:val="00573D6C"/>
    <w:rsid w:val="0058223C"/>
    <w:rsid w:val="00582E4D"/>
    <w:rsid w:val="005834AD"/>
    <w:rsid w:val="005851FF"/>
    <w:rsid w:val="00591478"/>
    <w:rsid w:val="005A2EB8"/>
    <w:rsid w:val="005B7606"/>
    <w:rsid w:val="005C1520"/>
    <w:rsid w:val="005C2778"/>
    <w:rsid w:val="005C6490"/>
    <w:rsid w:val="005C66E2"/>
    <w:rsid w:val="005E165F"/>
    <w:rsid w:val="005F0C83"/>
    <w:rsid w:val="005F5964"/>
    <w:rsid w:val="005F798A"/>
    <w:rsid w:val="006113BE"/>
    <w:rsid w:val="00612554"/>
    <w:rsid w:val="0062518E"/>
    <w:rsid w:val="0066255A"/>
    <w:rsid w:val="00666450"/>
    <w:rsid w:val="00666F3C"/>
    <w:rsid w:val="00691BD9"/>
    <w:rsid w:val="006A0281"/>
    <w:rsid w:val="006B0870"/>
    <w:rsid w:val="006C1958"/>
    <w:rsid w:val="006C1F88"/>
    <w:rsid w:val="006D512D"/>
    <w:rsid w:val="006E3687"/>
    <w:rsid w:val="006F01A8"/>
    <w:rsid w:val="006F0826"/>
    <w:rsid w:val="00703620"/>
    <w:rsid w:val="00704334"/>
    <w:rsid w:val="0071089E"/>
    <w:rsid w:val="0071450D"/>
    <w:rsid w:val="00736806"/>
    <w:rsid w:val="00744967"/>
    <w:rsid w:val="00750BDF"/>
    <w:rsid w:val="0078452C"/>
    <w:rsid w:val="007941B5"/>
    <w:rsid w:val="007A6A6B"/>
    <w:rsid w:val="007A7DB0"/>
    <w:rsid w:val="007B0BE3"/>
    <w:rsid w:val="007B41D7"/>
    <w:rsid w:val="007B71ED"/>
    <w:rsid w:val="007C4932"/>
    <w:rsid w:val="007D195E"/>
    <w:rsid w:val="007D605E"/>
    <w:rsid w:val="007E13BA"/>
    <w:rsid w:val="007E49B6"/>
    <w:rsid w:val="0080009D"/>
    <w:rsid w:val="00800202"/>
    <w:rsid w:val="0080213F"/>
    <w:rsid w:val="00821E2C"/>
    <w:rsid w:val="00837A73"/>
    <w:rsid w:val="00853690"/>
    <w:rsid w:val="00864274"/>
    <w:rsid w:val="0086439B"/>
    <w:rsid w:val="00876BC1"/>
    <w:rsid w:val="00897A91"/>
    <w:rsid w:val="008A1ACE"/>
    <w:rsid w:val="008A23BA"/>
    <w:rsid w:val="008C3854"/>
    <w:rsid w:val="008D2093"/>
    <w:rsid w:val="008D3424"/>
    <w:rsid w:val="008D5105"/>
    <w:rsid w:val="008D6501"/>
    <w:rsid w:val="008D7051"/>
    <w:rsid w:val="008F109B"/>
    <w:rsid w:val="008F322A"/>
    <w:rsid w:val="00910EA4"/>
    <w:rsid w:val="009146E5"/>
    <w:rsid w:val="0091568A"/>
    <w:rsid w:val="00923D37"/>
    <w:rsid w:val="00924800"/>
    <w:rsid w:val="00926D4C"/>
    <w:rsid w:val="00935758"/>
    <w:rsid w:val="009578BF"/>
    <w:rsid w:val="009649BD"/>
    <w:rsid w:val="009735E4"/>
    <w:rsid w:val="00976A03"/>
    <w:rsid w:val="0099288D"/>
    <w:rsid w:val="00992C0A"/>
    <w:rsid w:val="009A4F5E"/>
    <w:rsid w:val="009B3629"/>
    <w:rsid w:val="009B46EF"/>
    <w:rsid w:val="009B474E"/>
    <w:rsid w:val="009D7514"/>
    <w:rsid w:val="009E70B5"/>
    <w:rsid w:val="00A01F8B"/>
    <w:rsid w:val="00A03427"/>
    <w:rsid w:val="00A04859"/>
    <w:rsid w:val="00AC1E25"/>
    <w:rsid w:val="00AD4A0E"/>
    <w:rsid w:val="00AD7817"/>
    <w:rsid w:val="00AE5A9D"/>
    <w:rsid w:val="00B00345"/>
    <w:rsid w:val="00B5062E"/>
    <w:rsid w:val="00B53EA6"/>
    <w:rsid w:val="00B71A94"/>
    <w:rsid w:val="00B72AF0"/>
    <w:rsid w:val="00BA2FFE"/>
    <w:rsid w:val="00BA3F0C"/>
    <w:rsid w:val="00BC0FA6"/>
    <w:rsid w:val="00BC565F"/>
    <w:rsid w:val="00BE0F9A"/>
    <w:rsid w:val="00C022D4"/>
    <w:rsid w:val="00C07F5F"/>
    <w:rsid w:val="00C1304E"/>
    <w:rsid w:val="00C459E3"/>
    <w:rsid w:val="00C51780"/>
    <w:rsid w:val="00C53207"/>
    <w:rsid w:val="00C6296B"/>
    <w:rsid w:val="00C631AB"/>
    <w:rsid w:val="00C72767"/>
    <w:rsid w:val="00C72883"/>
    <w:rsid w:val="00C84432"/>
    <w:rsid w:val="00C91273"/>
    <w:rsid w:val="00C928FE"/>
    <w:rsid w:val="00C967AC"/>
    <w:rsid w:val="00CA2A7E"/>
    <w:rsid w:val="00CA7D9F"/>
    <w:rsid w:val="00CB1738"/>
    <w:rsid w:val="00CB4F94"/>
    <w:rsid w:val="00CC08E9"/>
    <w:rsid w:val="00CC543C"/>
    <w:rsid w:val="00CE094C"/>
    <w:rsid w:val="00CE53C1"/>
    <w:rsid w:val="00D01938"/>
    <w:rsid w:val="00D07C12"/>
    <w:rsid w:val="00D23E38"/>
    <w:rsid w:val="00D27D89"/>
    <w:rsid w:val="00D41E17"/>
    <w:rsid w:val="00D474BB"/>
    <w:rsid w:val="00D54113"/>
    <w:rsid w:val="00D64F00"/>
    <w:rsid w:val="00DA62B8"/>
    <w:rsid w:val="00DC2ECB"/>
    <w:rsid w:val="00DC344C"/>
    <w:rsid w:val="00DC43FA"/>
    <w:rsid w:val="00DC49D8"/>
    <w:rsid w:val="00DF7D58"/>
    <w:rsid w:val="00E00572"/>
    <w:rsid w:val="00E27430"/>
    <w:rsid w:val="00E32633"/>
    <w:rsid w:val="00E345E9"/>
    <w:rsid w:val="00E44B89"/>
    <w:rsid w:val="00E461D0"/>
    <w:rsid w:val="00E53A1A"/>
    <w:rsid w:val="00E61541"/>
    <w:rsid w:val="00E62A26"/>
    <w:rsid w:val="00E727AD"/>
    <w:rsid w:val="00E82B4E"/>
    <w:rsid w:val="00E962B5"/>
    <w:rsid w:val="00E9746D"/>
    <w:rsid w:val="00EB0DDF"/>
    <w:rsid w:val="00EB21BE"/>
    <w:rsid w:val="00EB23CD"/>
    <w:rsid w:val="00EC56C9"/>
    <w:rsid w:val="00EC5A03"/>
    <w:rsid w:val="00EF2079"/>
    <w:rsid w:val="00F05689"/>
    <w:rsid w:val="00F07722"/>
    <w:rsid w:val="00F258D0"/>
    <w:rsid w:val="00F25C47"/>
    <w:rsid w:val="00F32D60"/>
    <w:rsid w:val="00F50969"/>
    <w:rsid w:val="00F607D0"/>
    <w:rsid w:val="00F635B6"/>
    <w:rsid w:val="00F64DE6"/>
    <w:rsid w:val="00F665D0"/>
    <w:rsid w:val="00F80CD6"/>
    <w:rsid w:val="00F91BA3"/>
    <w:rsid w:val="00FB4EA3"/>
    <w:rsid w:val="00FD207C"/>
    <w:rsid w:val="00FD3407"/>
    <w:rsid w:val="00FD6594"/>
    <w:rsid w:val="00FE5D7C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A2706"/>
  <w15:chartTrackingRefBased/>
  <w15:docId w15:val="{8A72FE9D-6186-4B8E-A3F8-7D63F8E0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AF0"/>
    <w:pPr>
      <w:ind w:left="720"/>
      <w:contextualSpacing/>
    </w:pPr>
  </w:style>
  <w:style w:type="table" w:styleId="TableGrid">
    <w:name w:val="Table Grid"/>
    <w:basedOn w:val="TableNormal"/>
    <w:uiPriority w:val="39"/>
    <w:rsid w:val="00666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0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CD6"/>
  </w:style>
  <w:style w:type="paragraph" w:styleId="Footer">
    <w:name w:val="footer"/>
    <w:basedOn w:val="Normal"/>
    <w:link w:val="FooterChar"/>
    <w:uiPriority w:val="99"/>
    <w:unhideWhenUsed/>
    <w:rsid w:val="00F80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CD6"/>
  </w:style>
  <w:style w:type="paragraph" w:styleId="BalloonText">
    <w:name w:val="Balloon Text"/>
    <w:basedOn w:val="Normal"/>
    <w:link w:val="BalloonTextChar"/>
    <w:uiPriority w:val="99"/>
    <w:semiHidden/>
    <w:unhideWhenUsed/>
    <w:rsid w:val="00001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0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C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C8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A1A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ACE"/>
    <w:rPr>
      <w:color w:val="808080"/>
      <w:shd w:val="clear" w:color="auto" w:fill="E6E6E6"/>
    </w:rPr>
  </w:style>
  <w:style w:type="paragraph" w:customStyle="1" w:styleId="redtablehead">
    <w:name w:val="red table head"/>
    <w:qFormat/>
    <w:rsid w:val="002847C2"/>
    <w:pPr>
      <w:spacing w:after="0" w:line="240" w:lineRule="auto"/>
      <w:contextualSpacing/>
      <w:jc w:val="center"/>
    </w:pPr>
    <w:rPr>
      <w:rFonts w:ascii="Open Sans" w:hAnsi="Open Sans" w:cs="Open Sans Light"/>
      <w:b/>
      <w:caps/>
      <w:color w:val="FFFFFF" w:themeColor="background1"/>
      <w:spacing w:val="36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47630-38D9-447D-BFD0-D72A2568A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Darran Largey</dc:creator>
  <cp:keywords/>
  <dc:description/>
  <cp:lastModifiedBy>Vanessa Peel</cp:lastModifiedBy>
  <cp:revision>2</cp:revision>
  <cp:lastPrinted>2020-06-11T23:31:00Z</cp:lastPrinted>
  <dcterms:created xsi:type="dcterms:W3CDTF">2024-07-30T23:21:00Z</dcterms:created>
  <dcterms:modified xsi:type="dcterms:W3CDTF">2024-07-30T23:21:00Z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G20606DDEEBC940DE81270B367F754689">
    <vt:lpwstr>NICHE LOGISTICS</vt:lpwstr>
  </property>
</Properties>
</file>